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before="187"/>
        <w:ind w:right="1770" w:firstLine="567"/>
        <w:jc w:val="center"/>
      </w:pPr>
      <w:r>
        <w:t>Учебная технологическая практика (психологические основы профессиональной деятельности)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44.03.05 Педагогическое образование (с двумя профилями подготовки)</w:t>
      </w:r>
      <w:r>
        <w:rPr>
          <w:sz w:val="2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highlight w:val="none"/>
          <w:lang w:eastAsia="zh-CN"/>
        </w:rPr>
        <w:t>Русский язык и Литература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Направленность (профиль):  </w:t>
      </w:r>
      <w:r>
        <w:rPr>
          <w:rFonts w:ascii="Times New Roman" w:hAnsi="Times New Roman" w:cs="Times New Roman"/>
          <w:highlight w:val="none"/>
          <w:lang w:val="en-US" w:eastAsia="zh-CN"/>
        </w:rPr>
        <w:t xml:space="preserve">История и </w:t>
      </w:r>
      <w:r>
        <w:rPr>
          <w:rFonts w:ascii="Times New Roman" w:hAnsi="Times New Roman" w:cs="Times New Roman"/>
          <w:highlight w:val="none"/>
          <w:lang w:eastAsia="zh-CN"/>
        </w:rPr>
        <w:t>Обществоведение</w:t>
      </w: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44.03.01 Педагогическое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Физическая культура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 заочная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осуществлять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социальное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взаимодействие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реализовывать свою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роль в команде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УК-3.1.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работать в команде, проявляет лидерские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качества и умения.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УК-3.2. Демонстрирует способность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эффективного речевого и социального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взаимодействия, в том числе с различными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УК-3.3 Знает основные принципы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механизмы социального взаимодействия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условия эффективной работы в команде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основные условия эффективной командной работы и модели организационного поведения, стратегии и принципы командной работы;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определять стиль управления и эффективность руководства командой; вырабатывать командную стратегию; применять принципы и методы организации командной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опытом создания команды для выполнения практических задач; участием в разработке стратегии командной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организовывать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учебную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потребностями,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федеральных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стандартов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ОПК-3.1. Проектирует диагностируемые цели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(требования к результатам) совместной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индивидуальной учебной и воспитательной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обучающихся, в том числе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потребностями, в соответствии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требованиями федеральных государственных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образовательных стандартов.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ОПК-3.2. Использует педагогически обоснованные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содержание, формы, методы и приемы организации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совместной и индивидуальной учебной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воспитательной деятельности 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ОПК-3.3Знает основы применения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инклюзивных), необходимых для адресной работы с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различными категориями обучающихся 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 потребностями.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ОПК-3.4. Управляет учебными группами с целью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вовлечения обучающихся в процесс обучения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оказывает помощь и поддержку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организации деятельности ученических органов самоуправления.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организации воспитательной деятельности обучающихся, в том числе с особыми образовательными потребностями; требования ФГОС; содержание, формы, методы и приемы организации совместной и индивидуальной учебной и воспитательной деятельности обучающихся; основы управления учебными группами с целью вовлечения обучающихся в процесс обучения и воспитания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ставить диагностируемые цели (требования к результатам) совместной и индивидуальной учебной и воспитательной деятельности обучающихся; организовывать совместную и индивидуальную учебную и воспитательную деятельность обучающихся; применять психолого-педагогические технологии для адресной работы с различными категориями обучающихся, в том числе с особыми образовательными потребностями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основами проектирования; приемами организации совместной и индивидуальной деятельности обучающихся в соответствии с возрастными нормами их развития; технологиями помощи и поддержки в организации деятельности ученических органов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 Способен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использовать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необходимые для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индивидуализации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воспитания, в том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числе обучающихся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 особыми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потребностями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ОПК-6.1. Осуществляет отбор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педагогических технологий (в том числе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инклюзивных) и применяет их в профессиональной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деятельности с учетом различного контингента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ОПК-6.2. Применяет специальные технологии 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методы, позволяющие проводить индивидуализацию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обучения, развития, воспитания, формировать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систему регуляции поведения и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обучающихся.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ОПК-6.3. Знает психолого-педагогические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технологии индивидуализации обучения, развития,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воспитания.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психолого-педагогические технологии воспитания; технологии и методы регуляции поведения и деятельности обучающихся;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понимать документацию специалистов (психологов, дефектологов, логопедов и т.д.) и рекомендации по использованию индивидуально-ориентированных воспитательных технологий с учетом личностных и возрастных особенностей обучающихся; выбирать технологии и методы воспитания в соответствии с индивидуальными особенностями воспитанников;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анализа и отбора психолого-педагогических технологий (в том числе инклюзивных) и применения их в профессиональной воспитательной деятельности с учетом различного контингента обучающихся; психолого-педагогическими технологиями индивидуализации воспитания, в том числе обучающихся с особыми образовательными потребностями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7. Способен взаимодействовать с участниками образовательных отношений в рамках реализации ОП.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ИОПК-7.1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ИОПК-7.3 Взаимодействует с представителями организаций образования, социальной и духовной сферы, СМИ, бизнес-сообществ и др.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 Способен формировать развивающую образовательную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среду для достижения личностных,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предметных и метапредметных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 средствами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преподаваемых учебных предметов</w:t>
            </w:r>
          </w:p>
        </w:tc>
        <w:tc>
          <w:tcPr>
            <w:tcW w:w="297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ПК-3.1. Владеет способами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интеграции учебных предметов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для организации развивающей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учебной деятельности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(исследовательской, проектной,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групповой и др.).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ПК-3.2. Использует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образовательный потенциал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социокультурной среды региона в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преподавании (предмета по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профилю) в учебной и во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внеурочной деятельности.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ПК-3.3 Знает психолого-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педагогические условия создания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развивающей образовательной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среды для достижения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личностных и метапредметных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inorHAnsi"/>
                <w:sz w:val="20"/>
                <w:szCs w:val="20"/>
                <w:lang w:eastAsia="en-US"/>
              </w:rPr>
              <w:t>результатов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3.1.4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3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5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2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профессиональных действий на базе образовательной организации в условиях супервизии: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Изучение программ профилактики деструктивного поведения детей и подростков.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задание.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Составление психологической характеристики обучающихся и классного коллектива.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50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9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8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8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образованием.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textWrapping" w:clear="all"/>
      </w:r>
      <w:r>
        <w:rPr>
          <w:color w:val="FF0000"/>
        </w:rPr>
        <w:br w:type="page"/>
      </w:r>
    </w:p>
    <w:tbl>
      <w:tblPr>
        <w:tblStyle w:val="8"/>
        <w:tblW w:w="8822" w:type="dxa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before="187"/>
              <w:ind w:right="1770" w:firstLine="567"/>
              <w:jc w:val="center"/>
            </w:pPr>
            <w:r>
              <w:t>Учебная технологическая практика (психологические основы профессиональной деятельности)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 xml:space="preserve">Направление подготовки: 44.03.01 Педагогическое образование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заочная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Учетная карточка 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(психологические основы профессиональной деятельности)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Институт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Направление подготовки: 44 03.01 Педагогическое образование </w:t>
      </w:r>
      <w:r>
        <w:rPr>
          <w:rFonts w:ascii="Times New Roman" w:hAnsi="Times New Roman" w:cs="Times New Roman"/>
          <w:b/>
          <w:sz w:val="20"/>
          <w:szCs w:val="20"/>
        </w:rPr>
        <w:t>/ Направление подготовки: 44.03.05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(профиль)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9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8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7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Факультет / 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(ПСИХОЛОГИЧЕСКИЕ ОСНОВЫ ПРОФЕССИОНАЛЬНОЙ ДЕЯТЕЛЬНОСТИ)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8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9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ОПК-6,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ОПК-7,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9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20"/>
        <w:jc w:val="center"/>
        <w:rPr>
          <w:rStyle w:val="21"/>
          <w:rFonts w:eastAsia="Courier New"/>
          <w:b w:val="0"/>
        </w:rPr>
      </w:pP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Style w:val="21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9"/>
        <w:spacing w:line="240" w:lineRule="atLeast"/>
        <w:jc w:val="center"/>
        <w:rPr>
          <w:b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21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22"/>
              <w:jc w:val="left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20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20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20"/>
        <w:jc w:val="center"/>
        <w:rPr>
          <w:rStyle w:val="21"/>
          <w:rFonts w:eastAsia="Franklin Gothic Heavy"/>
          <w:b w:val="0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22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2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20"/>
        <w:jc w:val="center"/>
        <w:rPr>
          <w:rStyle w:val="21"/>
          <w:rFonts w:eastAsia="Franklin Gothic Heavy"/>
        </w:rPr>
      </w:pPr>
      <w:r>
        <w:rPr>
          <w:rStyle w:val="21"/>
          <w:rFonts w:eastAsia="Franklin Gothic Heavy"/>
        </w:rPr>
        <w:t>Шкала оценивания сформированности компетенции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b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20"/>
              <w:jc w:val="center"/>
              <w:rPr>
                <w:rStyle w:val="21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rPr>
                <w:rStyle w:val="21"/>
                <w:bCs w:val="0"/>
                <w:color w:val="auto"/>
                <w:sz w:val="20"/>
                <w:szCs w:val="20"/>
              </w:rPr>
            </w:pPr>
            <w:r>
              <w:rPr>
                <w:rStyle w:val="21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20"/>
        <w:jc w:val="center"/>
        <w:rPr>
          <w:rStyle w:val="21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профессиональных действий на базе образовательной организации в условиях супервизии: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Изучение индивидуально-психологических, возрастных особенностей обучающихся («Карта наблюдений», в которой студент отмечает индивидуально-психологические, возрастные и поведенческие особенности обучающихся в процессе урока и внеурочной деятельности).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Изучение социально-психологических особенностей классного коллектива («Карта наблюдений», в которой студент фиксирует особенности взаимодействия обучающихся друг с другом в процессе урока и внеурочной деятельности, психологический климат класса, конфликтное и конформное поведение).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Изучение программ профилактики деструктивного поведения детей и подростков.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Индивидуальное задание: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Составление психологической характеристики обучающихся и классного коллектива.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Построение педагогических рекомендаций на основании изученных индивидуально-психологических особенностей обучающихся и социально-психологических особенностей классного коллектива.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Оформление педагогического запроса на психологическую поддержку на основании представленной характеристики обучающегося и классного коллектива.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22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9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ibetan Machine Uni">
    <w:panose1 w:val="01000503020000020002"/>
    <w:charset w:val="00"/>
    <w:family w:val="auto"/>
    <w:pitch w:val="default"/>
    <w:sig w:usb0="20000007" w:usb1="10000000" w:usb2="04000040" w:usb3="00000000" w:csb0="20000003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8"/>
    <w:rsid w:val="00017D56"/>
    <w:rsid w:val="00034A09"/>
    <w:rsid w:val="000D22F8"/>
    <w:rsid w:val="00196E13"/>
    <w:rsid w:val="001D1A66"/>
    <w:rsid w:val="001E7DA0"/>
    <w:rsid w:val="00204B86"/>
    <w:rsid w:val="00250834"/>
    <w:rsid w:val="00281BEE"/>
    <w:rsid w:val="002C0BBC"/>
    <w:rsid w:val="002F6F8E"/>
    <w:rsid w:val="00317F95"/>
    <w:rsid w:val="00327FA2"/>
    <w:rsid w:val="00347CF0"/>
    <w:rsid w:val="00390E71"/>
    <w:rsid w:val="00394BB8"/>
    <w:rsid w:val="00427B75"/>
    <w:rsid w:val="004C2717"/>
    <w:rsid w:val="0057410E"/>
    <w:rsid w:val="00585579"/>
    <w:rsid w:val="005A49A9"/>
    <w:rsid w:val="005C5705"/>
    <w:rsid w:val="0062475C"/>
    <w:rsid w:val="006A00CA"/>
    <w:rsid w:val="00714E58"/>
    <w:rsid w:val="00761EDE"/>
    <w:rsid w:val="00793D07"/>
    <w:rsid w:val="007C0C23"/>
    <w:rsid w:val="009022A3"/>
    <w:rsid w:val="009201FA"/>
    <w:rsid w:val="00950EAC"/>
    <w:rsid w:val="00A60A4E"/>
    <w:rsid w:val="00B9236A"/>
    <w:rsid w:val="00BE77F3"/>
    <w:rsid w:val="00C01BD7"/>
    <w:rsid w:val="00C94929"/>
    <w:rsid w:val="00CF4E48"/>
    <w:rsid w:val="00D2331E"/>
    <w:rsid w:val="00D4322E"/>
    <w:rsid w:val="00D5009A"/>
    <w:rsid w:val="00D83A45"/>
    <w:rsid w:val="00E05CEB"/>
    <w:rsid w:val="00E06B57"/>
    <w:rsid w:val="00E643EA"/>
    <w:rsid w:val="00EB6AA6"/>
    <w:rsid w:val="00F47B32"/>
    <w:rsid w:val="00FE47D1"/>
    <w:rsid w:val="2FFD0452"/>
    <w:rsid w:val="571B1546"/>
    <w:rsid w:val="6EDDD0B2"/>
    <w:rsid w:val="BEF7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4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Emphasis"/>
    <w:qFormat/>
    <w:uiPriority w:val="20"/>
    <w:rPr>
      <w:rFonts w:cs="Times New Roman"/>
      <w:i/>
    </w:rPr>
  </w:style>
  <w:style w:type="character" w:styleId="7">
    <w:name w:val="Strong"/>
    <w:basedOn w:val="5"/>
    <w:qFormat/>
    <w:uiPriority w:val="22"/>
    <w:rPr>
      <w:rFonts w:cs="Times New Roman"/>
      <w:b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1">
    <w:name w:val="Основной текст Знак"/>
    <w:basedOn w:val="5"/>
    <w:link w:val="3"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customStyle="1" w:styleId="12">
    <w:name w:val="msonormalcxspmiddle"/>
    <w:basedOn w:val="1"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3">
    <w:name w:val="List Paragraph"/>
    <w:basedOn w:val="1"/>
    <w:link w:val="14"/>
    <w:qFormat/>
    <w:uiPriority w:val="34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4">
    <w:name w:val="Абзац списка Знак"/>
    <w:link w:val="13"/>
    <w:locked/>
    <w:uiPriority w:val="34"/>
    <w:rPr>
      <w:rFonts w:ascii="Calibri" w:hAnsi="Calibri" w:eastAsia="Times New Roman" w:cs="Times New Roman"/>
    </w:rPr>
  </w:style>
  <w:style w:type="character" w:customStyle="1" w:styleId="15">
    <w:name w:val="apple-converted-space"/>
    <w:basedOn w:val="5"/>
    <w:uiPriority w:val="0"/>
    <w:rPr>
      <w:rFonts w:cs="Times New Roman"/>
    </w:rPr>
  </w:style>
  <w:style w:type="character" w:customStyle="1" w:styleId="16">
    <w:name w:val="c0"/>
    <w:uiPriority w:val="0"/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8">
    <w:name w:val="Заголовок таблицы"/>
    <w:basedOn w:val="17"/>
    <w:uiPriority w:val="0"/>
    <w:pPr>
      <w:jc w:val="center"/>
    </w:pPr>
    <w:rPr>
      <w:b/>
      <w:bCs/>
    </w:rPr>
  </w:style>
  <w:style w:type="paragraph" w:customStyle="1" w:styleId="19">
    <w:name w:val="Standard"/>
    <w:basedOn w:val="1"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20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21">
    <w:name w:val="15"/>
    <w:basedOn w:val="5"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22">
    <w:name w:val="Обычный1"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20</Pages>
  <Words>5148</Words>
  <Characters>29345</Characters>
  <Lines>244</Lines>
  <Paragraphs>68</Paragraphs>
  <TotalTime>1</TotalTime>
  <ScaleCrop>false</ScaleCrop>
  <LinksUpToDate>false</LinksUpToDate>
  <CharactersWithSpaces>34425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2024-06-26T13:18:00Z</dcterms:created>
  <dc:creator>Kirill</dc:creator>
  <cp:lastModifiedBy>irina</cp:lastModifiedBy>
  <dcterms:modified xsi:type="dcterms:W3CDTF">2024-07-01T03:29:12Z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