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0E6" w:rsidRDefault="009E50E6" w:rsidP="009E50E6">
      <w:pPr>
        <w:ind w:firstLine="709"/>
      </w:pPr>
    </w:p>
    <w:p w:rsidR="00FB7C4F" w:rsidRDefault="00FB7C4F" w:rsidP="00FB7C4F">
      <w:pPr>
        <w:ind w:firstLine="709"/>
        <w:jc w:val="center"/>
        <w:rPr>
          <w:b/>
        </w:rPr>
      </w:pPr>
      <w:r w:rsidRPr="00FB7C4F">
        <w:rPr>
          <w:b/>
        </w:rPr>
        <w:t>Наименование оценочных средств по контролируемым разделам дисциплины (</w:t>
      </w:r>
      <w:proofErr w:type="spellStart"/>
      <w:r w:rsidRPr="00FB7C4F">
        <w:rPr>
          <w:b/>
        </w:rPr>
        <w:t>модулы</w:t>
      </w:r>
      <w:proofErr w:type="spellEnd"/>
      <w:r w:rsidRPr="00FB7C4F">
        <w:rPr>
          <w:b/>
        </w:rPr>
        <w:t>) Истории и философии науки</w:t>
      </w:r>
    </w:p>
    <w:tbl>
      <w:tblPr>
        <w:tblStyle w:val="a3"/>
        <w:tblW w:w="0" w:type="auto"/>
        <w:tblLook w:val="04A0"/>
      </w:tblPr>
      <w:tblGrid>
        <w:gridCol w:w="817"/>
        <w:gridCol w:w="3968"/>
        <w:gridCol w:w="1986"/>
        <w:gridCol w:w="2800"/>
      </w:tblGrid>
      <w:tr w:rsidR="00FB7C4F" w:rsidTr="00FB7C4F">
        <w:tc>
          <w:tcPr>
            <w:tcW w:w="817" w:type="dxa"/>
          </w:tcPr>
          <w:p w:rsidR="00FB7C4F" w:rsidRDefault="00FB7C4F" w:rsidP="00FB7C4F">
            <w:r>
              <w:t xml:space="preserve">№ </w:t>
            </w:r>
            <w:proofErr w:type="spellStart"/>
            <w:r>
              <w:t>п\</w:t>
            </w:r>
            <w:proofErr w:type="gramStart"/>
            <w:r>
              <w:t>п</w:t>
            </w:r>
            <w:proofErr w:type="spellEnd"/>
            <w:proofErr w:type="gramEnd"/>
          </w:p>
        </w:tc>
        <w:tc>
          <w:tcPr>
            <w:tcW w:w="3968" w:type="dxa"/>
          </w:tcPr>
          <w:p w:rsidR="00FB7C4F" w:rsidRDefault="00FB7C4F" w:rsidP="00FB7C4F">
            <w:r>
              <w:t>Контролируемые темы (разделы) дисциплины</w:t>
            </w:r>
          </w:p>
        </w:tc>
        <w:tc>
          <w:tcPr>
            <w:tcW w:w="1986" w:type="dxa"/>
          </w:tcPr>
          <w:p w:rsidR="00FB7C4F" w:rsidRDefault="00FB7C4F" w:rsidP="00FB7C4F">
            <w:r>
              <w:t>Код Контролируемой компетенции (или ее части)</w:t>
            </w:r>
          </w:p>
        </w:tc>
        <w:tc>
          <w:tcPr>
            <w:tcW w:w="2800" w:type="dxa"/>
          </w:tcPr>
          <w:p w:rsidR="00FB7C4F" w:rsidRDefault="00FB7C4F" w:rsidP="00FB7C4F">
            <w:r>
              <w:t>Наименование оценочного средства</w:t>
            </w:r>
          </w:p>
        </w:tc>
      </w:tr>
      <w:tr w:rsidR="00FB7C4F" w:rsidTr="00FB7C4F">
        <w:tc>
          <w:tcPr>
            <w:tcW w:w="817" w:type="dxa"/>
          </w:tcPr>
          <w:p w:rsidR="00FB7C4F" w:rsidRDefault="00FB7C4F" w:rsidP="00FB7C4F">
            <w:r>
              <w:t>1.</w:t>
            </w:r>
          </w:p>
        </w:tc>
        <w:tc>
          <w:tcPr>
            <w:tcW w:w="3968" w:type="dxa"/>
          </w:tcPr>
          <w:p w:rsidR="00FB7C4F" w:rsidRDefault="00FB7C4F" w:rsidP="00FB7C4F">
            <w:r w:rsidRPr="00FB7C4F">
              <w:t>История науки</w:t>
            </w:r>
          </w:p>
        </w:tc>
        <w:tc>
          <w:tcPr>
            <w:tcW w:w="1986" w:type="dxa"/>
          </w:tcPr>
          <w:p w:rsidR="00FB7C4F" w:rsidRDefault="00FB7C4F" w:rsidP="00FB7C4F">
            <w:r>
              <w:t>УК-1</w:t>
            </w:r>
          </w:p>
        </w:tc>
        <w:tc>
          <w:tcPr>
            <w:tcW w:w="2800" w:type="dxa"/>
          </w:tcPr>
          <w:p w:rsidR="00FB7C4F" w:rsidRDefault="00FB7C4F" w:rsidP="00FB7C4F">
            <w:r>
              <w:t>Реферат</w:t>
            </w:r>
          </w:p>
        </w:tc>
      </w:tr>
      <w:tr w:rsidR="00FB7C4F" w:rsidTr="00FB7C4F">
        <w:tc>
          <w:tcPr>
            <w:tcW w:w="817" w:type="dxa"/>
          </w:tcPr>
          <w:p w:rsidR="00FB7C4F" w:rsidRDefault="00FB7C4F" w:rsidP="00FB7C4F">
            <w:r>
              <w:t>2.</w:t>
            </w:r>
          </w:p>
        </w:tc>
        <w:tc>
          <w:tcPr>
            <w:tcW w:w="3968" w:type="dxa"/>
          </w:tcPr>
          <w:p w:rsidR="00FB7C4F" w:rsidRDefault="00FB7C4F" w:rsidP="00FB7C4F">
            <w:r w:rsidRPr="00FB7C4F">
              <w:t>Общие проблемы философии науки</w:t>
            </w:r>
          </w:p>
        </w:tc>
        <w:tc>
          <w:tcPr>
            <w:tcW w:w="1986" w:type="dxa"/>
          </w:tcPr>
          <w:p w:rsidR="00FB7C4F" w:rsidRDefault="00FB7C4F" w:rsidP="00844989">
            <w:r>
              <w:t>УК-1</w:t>
            </w:r>
          </w:p>
        </w:tc>
        <w:tc>
          <w:tcPr>
            <w:tcW w:w="2800" w:type="dxa"/>
          </w:tcPr>
          <w:p w:rsidR="00FB7C4F" w:rsidRDefault="00FB7C4F" w:rsidP="00FB7C4F">
            <w:r>
              <w:t>Вопросы к экзамену</w:t>
            </w:r>
          </w:p>
        </w:tc>
      </w:tr>
      <w:tr w:rsidR="00FB7C4F" w:rsidTr="00FB7C4F">
        <w:tc>
          <w:tcPr>
            <w:tcW w:w="817" w:type="dxa"/>
          </w:tcPr>
          <w:p w:rsidR="00FB7C4F" w:rsidRDefault="00FB7C4F" w:rsidP="00FB7C4F">
            <w:r>
              <w:t>3.</w:t>
            </w:r>
          </w:p>
        </w:tc>
        <w:tc>
          <w:tcPr>
            <w:tcW w:w="3968" w:type="dxa"/>
          </w:tcPr>
          <w:p w:rsidR="00FB7C4F" w:rsidRDefault="00093C42" w:rsidP="00FB7C4F">
            <w:r w:rsidRPr="00093C42">
              <w:t>Философия современных социально-гуманитарных исследований</w:t>
            </w:r>
          </w:p>
        </w:tc>
        <w:tc>
          <w:tcPr>
            <w:tcW w:w="1986" w:type="dxa"/>
          </w:tcPr>
          <w:p w:rsidR="00FB7C4F" w:rsidRDefault="00FB7C4F" w:rsidP="00844989">
            <w:r>
              <w:t>УК-1</w:t>
            </w:r>
          </w:p>
        </w:tc>
        <w:tc>
          <w:tcPr>
            <w:tcW w:w="2800" w:type="dxa"/>
          </w:tcPr>
          <w:p w:rsidR="00FB7C4F" w:rsidRDefault="00FB7C4F" w:rsidP="00FB7C4F">
            <w:r>
              <w:t>Вопрос «по выбору» к экзамену</w:t>
            </w:r>
          </w:p>
        </w:tc>
      </w:tr>
    </w:tbl>
    <w:p w:rsidR="00FB7C4F" w:rsidRDefault="00FB7C4F" w:rsidP="00FB7C4F">
      <w:pPr>
        <w:ind w:firstLine="709"/>
      </w:pPr>
    </w:p>
    <w:p w:rsidR="0059302E" w:rsidRDefault="0059302E">
      <w:pPr>
        <w:spacing w:after="200" w:line="276" w:lineRule="auto"/>
        <w:rPr>
          <w:b/>
        </w:rPr>
      </w:pPr>
      <w:r>
        <w:rPr>
          <w:b/>
        </w:rPr>
        <w:br w:type="page"/>
      </w:r>
    </w:p>
    <w:p w:rsidR="00FB7C4F" w:rsidRPr="00FB7C4F" w:rsidRDefault="00FB7C4F" w:rsidP="00FB7C4F">
      <w:pPr>
        <w:ind w:firstLine="709"/>
        <w:rPr>
          <w:b/>
        </w:rPr>
      </w:pPr>
      <w:r w:rsidRPr="00FB7C4F">
        <w:rPr>
          <w:b/>
        </w:rPr>
        <w:lastRenderedPageBreak/>
        <w:t>Выбор темы для письменной работы (реферата).</w:t>
      </w:r>
    </w:p>
    <w:p w:rsidR="00FB7C4F" w:rsidRDefault="00FB7C4F" w:rsidP="00FB7C4F">
      <w:pPr>
        <w:ind w:firstLine="709"/>
        <w:jc w:val="both"/>
      </w:pPr>
      <w:r>
        <w:t xml:space="preserve">Поскольку данная дисциплина входит в рабочий учебный план обучения в аспирантуре, то выполнение письменной работы соответствует созданию одного из обязательных разделов каждого диссертационного исследования. Содержание этого инвариантного раздела соответствует по своему значению обзору научной литературы. По этой причине выбор темы  для своего реферата совершает аспирант в соответствии с темой своего диссертационного исследования. </w:t>
      </w:r>
    </w:p>
    <w:p w:rsidR="00FB7C4F" w:rsidRDefault="00FB7C4F" w:rsidP="00FB7C4F">
      <w:pPr>
        <w:ind w:firstLine="709"/>
        <w:jc w:val="both"/>
      </w:pPr>
      <w:r>
        <w:t>Программой данной дисциплины предусмотрено, что философия науки входит в содержание лекционных занятий и экзаменационных билетов, а история науки – в составление реферата.</w:t>
      </w:r>
    </w:p>
    <w:p w:rsidR="00FB7C4F" w:rsidRDefault="00FB7C4F" w:rsidP="00FB7C4F">
      <w:pPr>
        <w:ind w:firstLine="709"/>
        <w:jc w:val="both"/>
      </w:pPr>
      <w:r>
        <w:t>Выполнение этой письменной работы предполагает создание двух глав: 1 глава должна содержать исторический обзор постановки задач, решаемых в диссертационном исследовании, а 2 глава – историю решения этих задач, предложение релевантных методов ее исследования. Именно этот раздел наиболее полно выражает формулировку УК-1 «</w:t>
      </w:r>
      <w:r w:rsidRPr="00FB7C4F">
        <w:t>Способность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w:t>
      </w:r>
      <w:r>
        <w:t>».</w:t>
      </w:r>
    </w:p>
    <w:p w:rsidR="00FB7C4F" w:rsidRDefault="00FB7C4F" w:rsidP="00FB7C4F">
      <w:pPr>
        <w:ind w:firstLine="709"/>
        <w:jc w:val="both"/>
      </w:pPr>
    </w:p>
    <w:p w:rsidR="00FB7C4F" w:rsidRPr="00FB7C4F" w:rsidRDefault="00FB7C4F" w:rsidP="00FB7C4F">
      <w:pPr>
        <w:ind w:firstLine="709"/>
        <w:rPr>
          <w:b/>
        </w:rPr>
      </w:pPr>
      <w:r w:rsidRPr="00FB7C4F">
        <w:rPr>
          <w:b/>
        </w:rPr>
        <w:t>Вопросы к экзамену:</w:t>
      </w:r>
    </w:p>
    <w:p w:rsidR="00FB7C4F" w:rsidRDefault="00FB7C4F" w:rsidP="00FB7C4F">
      <w:pPr>
        <w:ind w:firstLine="709"/>
        <w:rPr>
          <w:b/>
        </w:rPr>
      </w:pPr>
      <w:r>
        <w:t xml:space="preserve">Экзаменационный билет состоит из трех вопросов. Два из них содержатся в перечне </w:t>
      </w:r>
      <w:r w:rsidRPr="00FB7C4F">
        <w:rPr>
          <w:b/>
          <w:lang w:val="en-US"/>
        </w:rPr>
        <w:t>I</w:t>
      </w:r>
      <w:r>
        <w:t xml:space="preserve">, а третий – вопрос «по выбору» –  в перечне </w:t>
      </w:r>
      <w:r w:rsidRPr="00FB7C4F">
        <w:rPr>
          <w:b/>
          <w:lang w:val="en-US"/>
        </w:rPr>
        <w:t>II</w:t>
      </w:r>
      <w:r>
        <w:rPr>
          <w:b/>
        </w:rPr>
        <w:t>..</w:t>
      </w:r>
    </w:p>
    <w:p w:rsidR="00FB7C4F" w:rsidRDefault="00FB7C4F" w:rsidP="00FB7C4F">
      <w:pPr>
        <w:ind w:firstLine="709"/>
      </w:pPr>
    </w:p>
    <w:p w:rsidR="00457F81" w:rsidRPr="00457F81" w:rsidRDefault="00457F81" w:rsidP="00FB7C4F">
      <w:pPr>
        <w:ind w:firstLine="709"/>
      </w:pPr>
      <w:r>
        <w:t xml:space="preserve">Перечень </w:t>
      </w:r>
      <w:r w:rsidRPr="00FB7C4F">
        <w:rPr>
          <w:b/>
          <w:lang w:val="en-US"/>
        </w:rPr>
        <w:t>I</w:t>
      </w:r>
      <w:r>
        <w:rPr>
          <w:b/>
        </w:rPr>
        <w:t>:</w:t>
      </w:r>
    </w:p>
    <w:p w:rsidR="00457F81" w:rsidRDefault="00457F81" w:rsidP="00457F81">
      <w:pPr>
        <w:ind w:firstLine="709"/>
      </w:pPr>
      <w:r>
        <w:t>1. Методология науки, ее предмет и значение.</w:t>
      </w:r>
    </w:p>
    <w:p w:rsidR="00457F81" w:rsidRDefault="00457F81" w:rsidP="00457F81">
      <w:pPr>
        <w:ind w:firstLine="709"/>
      </w:pPr>
      <w:r>
        <w:t>2. Понятие рациональности. Научная рациональность, ее функции.</w:t>
      </w:r>
    </w:p>
    <w:p w:rsidR="00457F81" w:rsidRDefault="00457F81" w:rsidP="00457F81">
      <w:pPr>
        <w:ind w:firstLine="709"/>
      </w:pPr>
      <w:r>
        <w:t>3. Исторические типы научной рациональности.</w:t>
      </w:r>
    </w:p>
    <w:p w:rsidR="00457F81" w:rsidRDefault="00457F81" w:rsidP="00457F81">
      <w:pPr>
        <w:ind w:firstLine="709"/>
      </w:pPr>
      <w:r>
        <w:t xml:space="preserve">4. Классическая, неклассическая и </w:t>
      </w:r>
      <w:proofErr w:type="spellStart"/>
      <w:r>
        <w:t>постнеклассическая</w:t>
      </w:r>
      <w:proofErr w:type="spellEnd"/>
      <w:r>
        <w:t xml:space="preserve"> научная рациональность.</w:t>
      </w:r>
    </w:p>
    <w:p w:rsidR="00457F81" w:rsidRDefault="00457F81" w:rsidP="00457F81">
      <w:pPr>
        <w:ind w:firstLine="709"/>
      </w:pPr>
      <w:r>
        <w:t xml:space="preserve">5. Классические, неклассические и </w:t>
      </w:r>
      <w:proofErr w:type="spellStart"/>
      <w:r>
        <w:t>постнеклассические</w:t>
      </w:r>
      <w:proofErr w:type="spellEnd"/>
      <w:r>
        <w:t xml:space="preserve"> представления о причинности.</w:t>
      </w:r>
    </w:p>
    <w:p w:rsidR="00457F81" w:rsidRDefault="00457F81" w:rsidP="00457F81">
      <w:pPr>
        <w:ind w:firstLine="709"/>
      </w:pPr>
      <w:r>
        <w:t>6. Научная деятельность, ее структура.</w:t>
      </w:r>
    </w:p>
    <w:p w:rsidR="00457F81" w:rsidRDefault="00457F81" w:rsidP="00457F81">
      <w:pPr>
        <w:ind w:firstLine="709"/>
      </w:pPr>
      <w:r>
        <w:t>7. Субъект и объект научной деятельности. Научное сообщество и научная школа.</w:t>
      </w:r>
    </w:p>
    <w:p w:rsidR="00457F81" w:rsidRDefault="00457F81" w:rsidP="00457F81">
      <w:pPr>
        <w:ind w:firstLine="709"/>
      </w:pPr>
      <w:r>
        <w:t>8. Научный метод, его роль в процессе познания.</w:t>
      </w:r>
    </w:p>
    <w:p w:rsidR="00457F81" w:rsidRDefault="00457F81" w:rsidP="00457F81">
      <w:pPr>
        <w:ind w:firstLine="709"/>
      </w:pPr>
      <w:r>
        <w:t>9. Специфика научного знания как продукта научной деятельности.</w:t>
      </w:r>
    </w:p>
    <w:p w:rsidR="00457F81" w:rsidRDefault="00457F81" w:rsidP="00457F81">
      <w:pPr>
        <w:ind w:firstLine="709"/>
      </w:pPr>
      <w:r>
        <w:t>10. Системный подход, его роль в научном исследовании.</w:t>
      </w:r>
    </w:p>
    <w:p w:rsidR="00457F81" w:rsidRDefault="00457F81" w:rsidP="00457F81">
      <w:pPr>
        <w:ind w:firstLine="709"/>
      </w:pPr>
      <w:r>
        <w:t>11. Методологические требования системного описания объекта.</w:t>
      </w:r>
    </w:p>
    <w:p w:rsidR="00457F81" w:rsidRDefault="00457F81" w:rsidP="00457F81">
      <w:pPr>
        <w:ind w:firstLine="709"/>
      </w:pPr>
      <w:r>
        <w:t>12. Проблема, ее роль в развитии научного знания.</w:t>
      </w:r>
    </w:p>
    <w:p w:rsidR="00457F81" w:rsidRDefault="00457F81" w:rsidP="00457F81">
      <w:pPr>
        <w:ind w:firstLine="709"/>
      </w:pPr>
      <w:r>
        <w:t>13. Условия правомерности постановки научной проблемы.</w:t>
      </w:r>
    </w:p>
    <w:p w:rsidR="00457F81" w:rsidRDefault="00457F81" w:rsidP="00457F81">
      <w:pPr>
        <w:ind w:firstLine="709"/>
      </w:pPr>
      <w:r>
        <w:t>14. Научная гипотеза, ее познавательные функции.</w:t>
      </w:r>
    </w:p>
    <w:p w:rsidR="00457F81" w:rsidRDefault="00457F81" w:rsidP="00457F81">
      <w:pPr>
        <w:ind w:firstLine="709"/>
      </w:pPr>
      <w:r>
        <w:t>15. Методологические требования к выдвижению научной гипотезы.</w:t>
      </w:r>
    </w:p>
    <w:p w:rsidR="00457F81" w:rsidRDefault="00457F81" w:rsidP="00457F81">
      <w:pPr>
        <w:ind w:firstLine="709"/>
      </w:pPr>
      <w:r>
        <w:t>16. Эмпирический и теоретический уровни научного познания, их различие и взаимосвязь.</w:t>
      </w:r>
    </w:p>
    <w:p w:rsidR="00457F81" w:rsidRDefault="00457F81" w:rsidP="00457F81">
      <w:pPr>
        <w:ind w:firstLine="709"/>
      </w:pPr>
      <w:r>
        <w:t>17. Научный факт как результат эмпирического исследования. Эмпирические данные и научный факт.</w:t>
      </w:r>
    </w:p>
    <w:p w:rsidR="00457F81" w:rsidRDefault="00457F81" w:rsidP="00457F81">
      <w:pPr>
        <w:ind w:firstLine="709"/>
      </w:pPr>
      <w:r>
        <w:t>18. Наблюдение как метод научного исследования. Виды наблюдения.</w:t>
      </w:r>
    </w:p>
    <w:p w:rsidR="00457F81" w:rsidRDefault="00457F81" w:rsidP="00457F81">
      <w:pPr>
        <w:ind w:firstLine="709"/>
      </w:pPr>
      <w:r>
        <w:t>19. Измерение как метод эмпирического исследования.</w:t>
      </w:r>
    </w:p>
    <w:p w:rsidR="00457F81" w:rsidRDefault="00457F81" w:rsidP="00457F81">
      <w:pPr>
        <w:ind w:firstLine="709"/>
      </w:pPr>
      <w:r>
        <w:t>20. Методологические требования к процедуре измерения.</w:t>
      </w:r>
    </w:p>
    <w:p w:rsidR="00457F81" w:rsidRDefault="00457F81" w:rsidP="00457F81">
      <w:pPr>
        <w:ind w:firstLine="709"/>
      </w:pPr>
      <w:r>
        <w:t>21. Научный эксперимент, его роль в научном познании.</w:t>
      </w:r>
    </w:p>
    <w:p w:rsidR="00457F81" w:rsidRDefault="00457F81" w:rsidP="00457F81">
      <w:pPr>
        <w:ind w:firstLine="709"/>
      </w:pPr>
      <w:r>
        <w:t>22. Методологические требования к планированию эксперимента.</w:t>
      </w:r>
    </w:p>
    <w:p w:rsidR="00457F81" w:rsidRDefault="00457F81" w:rsidP="00457F81">
      <w:pPr>
        <w:ind w:firstLine="709"/>
      </w:pPr>
      <w:r>
        <w:t>23. Качественные методы обработки данных. Классификация.</w:t>
      </w:r>
    </w:p>
    <w:p w:rsidR="00457F81" w:rsidRDefault="00457F81" w:rsidP="00457F81">
      <w:pPr>
        <w:ind w:firstLine="709"/>
      </w:pPr>
      <w:r>
        <w:t>24. Типология и систематизация, их роль в медицинском познании.</w:t>
      </w:r>
    </w:p>
    <w:p w:rsidR="00457F81" w:rsidRDefault="00457F81" w:rsidP="00457F81">
      <w:pPr>
        <w:ind w:firstLine="709"/>
      </w:pPr>
      <w:r>
        <w:t>25. Закон науки и объективная закономерность.</w:t>
      </w:r>
    </w:p>
    <w:p w:rsidR="00457F81" w:rsidRDefault="00457F81" w:rsidP="00457F81">
      <w:pPr>
        <w:ind w:firstLine="709"/>
      </w:pPr>
      <w:r>
        <w:t>26. Научное объяснение, его логическая структура.</w:t>
      </w:r>
    </w:p>
    <w:p w:rsidR="00457F81" w:rsidRDefault="00457F81" w:rsidP="00457F81">
      <w:pPr>
        <w:ind w:firstLine="709"/>
      </w:pPr>
      <w:r>
        <w:lastRenderedPageBreak/>
        <w:t>27. Гипотетико-дедуктивный метод, его роль в развитии научного знания.</w:t>
      </w:r>
    </w:p>
    <w:p w:rsidR="00457F81" w:rsidRDefault="00457F81" w:rsidP="00457F81">
      <w:pPr>
        <w:ind w:firstLine="709"/>
      </w:pPr>
      <w:r>
        <w:t>28. Мысленный эксперимент как научный метод.</w:t>
      </w:r>
    </w:p>
    <w:p w:rsidR="00457F81" w:rsidRDefault="00457F81" w:rsidP="00457F81">
      <w:pPr>
        <w:ind w:firstLine="709"/>
      </w:pPr>
      <w:r>
        <w:t>29. Научная коммуникация, ее специфика и роль.</w:t>
      </w:r>
    </w:p>
    <w:p w:rsidR="00457F81" w:rsidRDefault="00457F81" w:rsidP="00457F81">
      <w:pPr>
        <w:ind w:firstLine="709"/>
      </w:pPr>
      <w:r>
        <w:t>30. Научная рациональность и коммуникация. Рациональный консенсус.</w:t>
      </w:r>
    </w:p>
    <w:p w:rsidR="00457F81" w:rsidRDefault="00457F81" w:rsidP="00457F81">
      <w:pPr>
        <w:ind w:firstLine="709"/>
      </w:pPr>
      <w:r>
        <w:t>31. Определение исследовательской этики, ее статус и принципы.</w:t>
      </w:r>
    </w:p>
    <w:p w:rsidR="00457F81" w:rsidRDefault="00457F81" w:rsidP="00457F81">
      <w:pPr>
        <w:ind w:firstLine="709"/>
      </w:pPr>
      <w:r>
        <w:t>32. Этические теории, их влияние на решение моральных проблем в исследовательской этике.</w:t>
      </w:r>
    </w:p>
    <w:p w:rsidR="00457F81" w:rsidRDefault="00457F81" w:rsidP="00457F81">
      <w:pPr>
        <w:ind w:firstLine="709"/>
      </w:pPr>
      <w:r>
        <w:t>33. Необходимость социальной и гуманитарной экспертизы исследовательских проектов.</w:t>
      </w:r>
    </w:p>
    <w:p w:rsidR="00457F81" w:rsidRDefault="00457F81" w:rsidP="00457F81">
      <w:pPr>
        <w:ind w:firstLine="709"/>
      </w:pPr>
      <w:r>
        <w:t>34. Проблема добросовестности в научных исследованиях. Публикационная этика.</w:t>
      </w:r>
    </w:p>
    <w:p w:rsidR="00457F81" w:rsidRDefault="00457F81" w:rsidP="00457F81">
      <w:pPr>
        <w:ind w:firstLine="709"/>
      </w:pPr>
      <w:r>
        <w:t>35. Личное пространство и конфиденциальность в исследовательской этике.</w:t>
      </w:r>
    </w:p>
    <w:p w:rsidR="00457F81" w:rsidRDefault="00457F81" w:rsidP="00457F81">
      <w:pPr>
        <w:ind w:firstLine="709"/>
      </w:pPr>
      <w:r>
        <w:t>36. Понятие «уязвимость» в контексте этики научных исследований.</w:t>
      </w:r>
    </w:p>
    <w:p w:rsidR="00457F81" w:rsidRDefault="00457F81" w:rsidP="00457F81">
      <w:pPr>
        <w:ind w:firstLine="709"/>
      </w:pPr>
    </w:p>
    <w:p w:rsidR="00457F81" w:rsidRDefault="00457F81" w:rsidP="00457F81">
      <w:pPr>
        <w:ind w:firstLine="709"/>
        <w:rPr>
          <w:b/>
        </w:rPr>
      </w:pPr>
      <w:r>
        <w:t xml:space="preserve">Перечень </w:t>
      </w:r>
      <w:r w:rsidRPr="00FB7C4F">
        <w:rPr>
          <w:b/>
          <w:lang w:val="en-US"/>
        </w:rPr>
        <w:t>II</w:t>
      </w:r>
      <w:r>
        <w:rPr>
          <w:b/>
        </w:rPr>
        <w:t>:</w:t>
      </w:r>
    </w:p>
    <w:p w:rsidR="00457F81" w:rsidRDefault="00457F81" w:rsidP="00457F81">
      <w:pPr>
        <w:ind w:firstLine="709"/>
      </w:pPr>
      <w:r>
        <w:t>1. Бергсон А. Творческая эволюция. М., 1998.</w:t>
      </w:r>
    </w:p>
    <w:p w:rsidR="00457F81" w:rsidRDefault="00457F81" w:rsidP="00457F81">
      <w:pPr>
        <w:ind w:firstLine="709"/>
      </w:pPr>
      <w:r>
        <w:t>2. Кун Т. Структура научных революций. М., 2002.</w:t>
      </w:r>
    </w:p>
    <w:p w:rsidR="00457F81" w:rsidRDefault="00457F81" w:rsidP="00457F81">
      <w:pPr>
        <w:ind w:firstLine="709"/>
      </w:pPr>
      <w:r>
        <w:t xml:space="preserve">3. </w:t>
      </w:r>
      <w:proofErr w:type="spellStart"/>
      <w:r>
        <w:t>Лакатос</w:t>
      </w:r>
      <w:proofErr w:type="spellEnd"/>
      <w:r>
        <w:t xml:space="preserve"> И. Фальсификация и методология научно-исследовательских программ. М., 1995.</w:t>
      </w:r>
    </w:p>
    <w:p w:rsidR="00457F81" w:rsidRDefault="00457F81" w:rsidP="00457F81">
      <w:pPr>
        <w:ind w:firstLine="709"/>
      </w:pPr>
      <w:r>
        <w:t xml:space="preserve">4. </w:t>
      </w:r>
      <w:proofErr w:type="spellStart"/>
      <w:r>
        <w:t>Полани</w:t>
      </w:r>
      <w:proofErr w:type="spellEnd"/>
      <w:r>
        <w:t xml:space="preserve"> М. Личностное знание. М., 1985.</w:t>
      </w:r>
    </w:p>
    <w:p w:rsidR="00457F81" w:rsidRDefault="00457F81" w:rsidP="00457F81">
      <w:pPr>
        <w:ind w:firstLine="709"/>
      </w:pPr>
      <w:r>
        <w:t>5. Поппер К. Логика и рост научного знания. М., 1983.</w:t>
      </w:r>
    </w:p>
    <w:p w:rsidR="00457F81" w:rsidRDefault="00457F81" w:rsidP="00457F81">
      <w:pPr>
        <w:ind w:firstLine="709"/>
      </w:pPr>
      <w:r>
        <w:t>6. Соссюр Курс общей лингвистики. Екатеринбург, 1999.</w:t>
      </w:r>
    </w:p>
    <w:p w:rsidR="00457F81" w:rsidRDefault="00457F81" w:rsidP="00457F81">
      <w:pPr>
        <w:ind w:firstLine="709"/>
      </w:pPr>
      <w:r>
        <w:t xml:space="preserve">7. Уайтхед А.Н. Наука и современный </w:t>
      </w:r>
      <w:proofErr w:type="gramStart"/>
      <w:r>
        <w:t>мир</w:t>
      </w:r>
      <w:proofErr w:type="gramEnd"/>
      <w:r>
        <w:t xml:space="preserve"> // Избранные работы по философии. М., 1990.</w:t>
      </w:r>
    </w:p>
    <w:p w:rsidR="00457F81" w:rsidRDefault="00457F81" w:rsidP="00457F81">
      <w:pPr>
        <w:ind w:firstLine="709"/>
      </w:pPr>
      <w:r>
        <w:t xml:space="preserve">8. </w:t>
      </w:r>
      <w:proofErr w:type="spellStart"/>
      <w:r>
        <w:t>Фейрабенд</w:t>
      </w:r>
      <w:proofErr w:type="spellEnd"/>
      <w:r>
        <w:t xml:space="preserve"> П. Против метода // Избранные труды по методологии науки. СПб</w:t>
      </w:r>
      <w:proofErr w:type="gramStart"/>
      <w:r>
        <w:t xml:space="preserve">., </w:t>
      </w:r>
      <w:proofErr w:type="gramEnd"/>
      <w:r>
        <w:t>1994.</w:t>
      </w:r>
    </w:p>
    <w:p w:rsidR="00457F81" w:rsidRDefault="00457F81" w:rsidP="00457F81">
      <w:pPr>
        <w:ind w:firstLine="709"/>
      </w:pPr>
      <w:r>
        <w:t>9. Фуко М. Слова и вещи. Археология гуманитарных наук. М., 1994.</w:t>
      </w:r>
    </w:p>
    <w:p w:rsidR="00457F81" w:rsidRPr="00457F81" w:rsidRDefault="00457F81" w:rsidP="00457F81">
      <w:pPr>
        <w:ind w:firstLine="709"/>
      </w:pPr>
      <w:r>
        <w:t>10. Ясперс К. Смысл и назначение истории. М., 1991.</w:t>
      </w:r>
    </w:p>
    <w:p w:rsidR="00457F81" w:rsidRDefault="00457F81" w:rsidP="00457F81">
      <w:pPr>
        <w:ind w:firstLine="709"/>
      </w:pPr>
    </w:p>
    <w:p w:rsidR="00457F81" w:rsidRDefault="00457F81" w:rsidP="00457F81">
      <w:pPr>
        <w:ind w:firstLine="709"/>
        <w:jc w:val="both"/>
      </w:pPr>
      <w:r>
        <w:t xml:space="preserve">Подготовка к ответу на вопрос «по выбору» предусмотрена в программе дисциплины, а именно темой для самостоятельной работы: «Дискуссии ученых о становлении истории науки». </w:t>
      </w:r>
    </w:p>
    <w:p w:rsidR="00457F81" w:rsidRDefault="00457F81" w:rsidP="00457F81">
      <w:pPr>
        <w:ind w:firstLine="709"/>
      </w:pPr>
      <w:r>
        <w:t xml:space="preserve">Подготовка состоит: </w:t>
      </w:r>
    </w:p>
    <w:p w:rsidR="00457F81" w:rsidRDefault="00457F81" w:rsidP="00457F81">
      <w:pPr>
        <w:ind w:firstLine="709"/>
      </w:pPr>
      <w:r>
        <w:t xml:space="preserve">1) в прочтении одного из указанных ниже трудов; </w:t>
      </w:r>
    </w:p>
    <w:p w:rsidR="00457F81" w:rsidRDefault="00457F81" w:rsidP="00457F81">
      <w:pPr>
        <w:ind w:firstLine="709"/>
      </w:pPr>
      <w:r>
        <w:t xml:space="preserve">2) краткого изложения содержания данного текста; </w:t>
      </w:r>
    </w:p>
    <w:p w:rsidR="00457F81" w:rsidRDefault="00457F81" w:rsidP="00457F81">
      <w:pPr>
        <w:ind w:firstLine="709"/>
      </w:pPr>
      <w:r>
        <w:t>3) выработки личного суждения об основных тезисах автора.</w:t>
      </w:r>
    </w:p>
    <w:p w:rsidR="00457F81" w:rsidRDefault="00457F81" w:rsidP="00457F81">
      <w:pPr>
        <w:ind w:firstLine="709"/>
      </w:pPr>
    </w:p>
    <w:p w:rsidR="00FB7C4F" w:rsidRDefault="00FB7C4F">
      <w:pPr>
        <w:spacing w:after="200" w:line="276" w:lineRule="auto"/>
      </w:pPr>
      <w:r>
        <w:br w:type="page"/>
      </w:r>
    </w:p>
    <w:p w:rsidR="00FB7C4F" w:rsidRDefault="00FB7C4F" w:rsidP="009E50E6">
      <w:pPr>
        <w:ind w:firstLine="709"/>
      </w:pPr>
    </w:p>
    <w:tbl>
      <w:tblPr>
        <w:tblStyle w:val="a3"/>
        <w:tblW w:w="0" w:type="auto"/>
        <w:tblLook w:val="01E0"/>
      </w:tblPr>
      <w:tblGrid>
        <w:gridCol w:w="1923"/>
        <w:gridCol w:w="1920"/>
        <w:gridCol w:w="1920"/>
        <w:gridCol w:w="1920"/>
        <w:gridCol w:w="1888"/>
      </w:tblGrid>
      <w:tr w:rsidR="009E50E6" w:rsidRPr="009E50E6" w:rsidTr="00844989">
        <w:tc>
          <w:tcPr>
            <w:tcW w:w="2197" w:type="dxa"/>
            <w:vMerge w:val="restart"/>
          </w:tcPr>
          <w:p w:rsidR="009E50E6" w:rsidRPr="009E50E6" w:rsidRDefault="009E50E6" w:rsidP="00844989">
            <w:r w:rsidRPr="009E50E6">
              <w:t>Планируемые результаты обучения</w:t>
            </w:r>
          </w:p>
        </w:tc>
        <w:tc>
          <w:tcPr>
            <w:tcW w:w="8791" w:type="dxa"/>
            <w:gridSpan w:val="4"/>
          </w:tcPr>
          <w:p w:rsidR="009E50E6" w:rsidRPr="009E50E6" w:rsidRDefault="009E50E6" w:rsidP="00844989">
            <w:pPr>
              <w:jc w:val="center"/>
            </w:pPr>
            <w:r w:rsidRPr="009E50E6">
              <w:t>Критерии оценивания результатов обучения</w:t>
            </w:r>
          </w:p>
        </w:tc>
      </w:tr>
      <w:tr w:rsidR="009E50E6" w:rsidRPr="009E50E6" w:rsidTr="00844989">
        <w:tc>
          <w:tcPr>
            <w:tcW w:w="2197" w:type="dxa"/>
            <w:vMerge/>
          </w:tcPr>
          <w:p w:rsidR="009E50E6" w:rsidRPr="009E50E6" w:rsidRDefault="009E50E6" w:rsidP="00844989"/>
        </w:tc>
        <w:tc>
          <w:tcPr>
            <w:tcW w:w="2197" w:type="dxa"/>
          </w:tcPr>
          <w:p w:rsidR="009E50E6" w:rsidRPr="009E50E6" w:rsidRDefault="009E50E6" w:rsidP="00844989">
            <w:pPr>
              <w:jc w:val="center"/>
            </w:pPr>
            <w:r w:rsidRPr="009E50E6">
              <w:t>2</w:t>
            </w:r>
          </w:p>
        </w:tc>
        <w:tc>
          <w:tcPr>
            <w:tcW w:w="2198" w:type="dxa"/>
          </w:tcPr>
          <w:p w:rsidR="009E50E6" w:rsidRPr="009E50E6" w:rsidRDefault="009E50E6" w:rsidP="00844989">
            <w:pPr>
              <w:jc w:val="center"/>
            </w:pPr>
            <w:r w:rsidRPr="009E50E6">
              <w:t>3</w:t>
            </w:r>
          </w:p>
        </w:tc>
        <w:tc>
          <w:tcPr>
            <w:tcW w:w="2198" w:type="dxa"/>
          </w:tcPr>
          <w:p w:rsidR="009E50E6" w:rsidRPr="009E50E6" w:rsidRDefault="009E50E6" w:rsidP="00844989">
            <w:pPr>
              <w:jc w:val="center"/>
            </w:pPr>
            <w:r w:rsidRPr="009E50E6">
              <w:t>4</w:t>
            </w:r>
          </w:p>
        </w:tc>
        <w:tc>
          <w:tcPr>
            <w:tcW w:w="2198" w:type="dxa"/>
          </w:tcPr>
          <w:p w:rsidR="009E50E6" w:rsidRPr="009E50E6" w:rsidRDefault="009E50E6" w:rsidP="00844989">
            <w:pPr>
              <w:jc w:val="center"/>
            </w:pPr>
            <w:r w:rsidRPr="009E50E6">
              <w:t>5</w:t>
            </w:r>
          </w:p>
        </w:tc>
      </w:tr>
      <w:tr w:rsidR="009E50E6" w:rsidRPr="009E50E6" w:rsidTr="00844989">
        <w:tc>
          <w:tcPr>
            <w:tcW w:w="2197" w:type="dxa"/>
          </w:tcPr>
          <w:p w:rsidR="009E50E6" w:rsidRPr="009E50E6" w:rsidRDefault="009E50E6" w:rsidP="00844989">
            <w:pPr>
              <w:widowControl w:val="0"/>
              <w:autoSpaceDE w:val="0"/>
              <w:autoSpaceDN w:val="0"/>
              <w:adjustRightInd w:val="0"/>
              <w:rPr>
                <w:b/>
                <w:bCs/>
                <w:color w:val="000000"/>
                <w:sz w:val="20"/>
                <w:szCs w:val="20"/>
              </w:rPr>
            </w:pPr>
            <w:r w:rsidRPr="009E50E6">
              <w:rPr>
                <w:b/>
                <w:bCs/>
                <w:color w:val="000000"/>
                <w:sz w:val="20"/>
                <w:szCs w:val="20"/>
              </w:rPr>
              <w:t>Знать:</w:t>
            </w:r>
          </w:p>
          <w:p w:rsidR="009E50E6" w:rsidRPr="009E50E6" w:rsidRDefault="009E50E6" w:rsidP="00844989">
            <w:pPr>
              <w:widowControl w:val="0"/>
              <w:autoSpaceDE w:val="0"/>
              <w:autoSpaceDN w:val="0"/>
              <w:adjustRightInd w:val="0"/>
            </w:pPr>
            <w:r w:rsidRPr="009E50E6">
              <w:rPr>
                <w:color w:val="000000"/>
                <w:sz w:val="19"/>
                <w:szCs w:val="19"/>
              </w:rPr>
              <w:t>основные философские концепции науки и базовые подходы к выделению её исторических этапов.</w:t>
            </w:r>
          </w:p>
        </w:tc>
        <w:tc>
          <w:tcPr>
            <w:tcW w:w="2197" w:type="dxa"/>
          </w:tcPr>
          <w:p w:rsidR="009E50E6" w:rsidRPr="009E50E6" w:rsidRDefault="009E50E6" w:rsidP="00844989">
            <w:pPr>
              <w:rPr>
                <w:sz w:val="20"/>
                <w:szCs w:val="20"/>
              </w:rPr>
            </w:pPr>
            <w:r w:rsidRPr="009E50E6">
              <w:rPr>
                <w:sz w:val="20"/>
                <w:szCs w:val="20"/>
              </w:rPr>
              <w:t xml:space="preserve">Продемонстрированы фрагментарные знания об </w:t>
            </w:r>
            <w:r w:rsidRPr="009E50E6">
              <w:rPr>
                <w:color w:val="000000"/>
                <w:sz w:val="19"/>
                <w:szCs w:val="19"/>
              </w:rPr>
              <w:t>основных философских концепциях науки и базовых подходах к выделению её исторических этапов</w:t>
            </w:r>
          </w:p>
        </w:tc>
        <w:tc>
          <w:tcPr>
            <w:tcW w:w="2198" w:type="dxa"/>
          </w:tcPr>
          <w:p w:rsidR="009E50E6" w:rsidRPr="009E50E6" w:rsidRDefault="009E50E6" w:rsidP="00844989">
            <w:pPr>
              <w:rPr>
                <w:sz w:val="20"/>
                <w:szCs w:val="20"/>
              </w:rPr>
            </w:pPr>
            <w:r w:rsidRPr="009E50E6">
              <w:rPr>
                <w:sz w:val="20"/>
                <w:szCs w:val="20"/>
              </w:rPr>
              <w:t xml:space="preserve">Продемонстрированы существенные пробелы в знаниях </w:t>
            </w:r>
            <w:r w:rsidRPr="009E50E6">
              <w:rPr>
                <w:color w:val="000000"/>
                <w:sz w:val="19"/>
                <w:szCs w:val="19"/>
              </w:rPr>
              <w:t>основных философские концепции науки и базовые подходы к выделению её исторических этапов</w:t>
            </w:r>
          </w:p>
        </w:tc>
        <w:tc>
          <w:tcPr>
            <w:tcW w:w="2198" w:type="dxa"/>
          </w:tcPr>
          <w:p w:rsidR="009E50E6" w:rsidRPr="009E50E6" w:rsidRDefault="009E50E6" w:rsidP="00844989">
            <w:pPr>
              <w:rPr>
                <w:sz w:val="20"/>
                <w:szCs w:val="20"/>
              </w:rPr>
            </w:pPr>
            <w:r w:rsidRPr="009E50E6">
              <w:rPr>
                <w:sz w:val="20"/>
                <w:szCs w:val="20"/>
              </w:rPr>
              <w:t xml:space="preserve">Продемонстрированы отдельные пробелы в знаниях </w:t>
            </w:r>
            <w:r w:rsidRPr="009E50E6">
              <w:rPr>
                <w:color w:val="000000"/>
                <w:sz w:val="19"/>
                <w:szCs w:val="19"/>
              </w:rPr>
              <w:t>основных философские концепции науки и базовые подходы к выделению её исторических этапов</w:t>
            </w:r>
          </w:p>
        </w:tc>
        <w:tc>
          <w:tcPr>
            <w:tcW w:w="2198" w:type="dxa"/>
          </w:tcPr>
          <w:p w:rsidR="009E50E6" w:rsidRPr="009E50E6" w:rsidRDefault="009E50E6" w:rsidP="00844989">
            <w:pPr>
              <w:widowControl w:val="0"/>
              <w:autoSpaceDE w:val="0"/>
              <w:autoSpaceDN w:val="0"/>
              <w:adjustRightInd w:val="0"/>
              <w:rPr>
                <w:color w:val="000000"/>
                <w:sz w:val="20"/>
                <w:szCs w:val="20"/>
              </w:rPr>
            </w:pPr>
            <w:r w:rsidRPr="009E50E6">
              <w:rPr>
                <w:sz w:val="20"/>
                <w:szCs w:val="20"/>
              </w:rPr>
              <w:t xml:space="preserve">Продемонстрировано систематическое знание </w:t>
            </w:r>
            <w:r w:rsidRPr="009E50E6">
              <w:rPr>
                <w:color w:val="000000"/>
                <w:sz w:val="19"/>
                <w:szCs w:val="19"/>
              </w:rPr>
              <w:t>основных философские концепции науки и базовые подходы к выделению её исторических этапов</w:t>
            </w:r>
          </w:p>
          <w:p w:rsidR="009E50E6" w:rsidRPr="009E50E6" w:rsidRDefault="009E50E6" w:rsidP="00844989">
            <w:pPr>
              <w:rPr>
                <w:sz w:val="20"/>
                <w:szCs w:val="20"/>
              </w:rPr>
            </w:pPr>
          </w:p>
        </w:tc>
      </w:tr>
      <w:tr w:rsidR="009E50E6" w:rsidRPr="009E50E6" w:rsidTr="00844989">
        <w:tc>
          <w:tcPr>
            <w:tcW w:w="2197" w:type="dxa"/>
          </w:tcPr>
          <w:p w:rsidR="009E50E6" w:rsidRPr="009E50E6" w:rsidRDefault="009E50E6" w:rsidP="00844989">
            <w:pPr>
              <w:widowControl w:val="0"/>
              <w:autoSpaceDE w:val="0"/>
              <w:autoSpaceDN w:val="0"/>
              <w:adjustRightInd w:val="0"/>
              <w:spacing w:before="15" w:after="15" w:line="218" w:lineRule="exact"/>
              <w:ind w:left="30" w:right="30"/>
              <w:rPr>
                <w:b/>
                <w:bCs/>
                <w:color w:val="000000"/>
                <w:sz w:val="20"/>
                <w:szCs w:val="20"/>
              </w:rPr>
            </w:pPr>
            <w:r w:rsidRPr="009E50E6">
              <w:rPr>
                <w:b/>
                <w:bCs/>
                <w:color w:val="000000"/>
                <w:sz w:val="20"/>
                <w:szCs w:val="20"/>
              </w:rPr>
              <w:t>Уметь:</w:t>
            </w:r>
          </w:p>
          <w:p w:rsidR="009E50E6" w:rsidRPr="009E50E6" w:rsidRDefault="009E50E6" w:rsidP="00844989">
            <w:pPr>
              <w:widowControl w:val="0"/>
              <w:autoSpaceDE w:val="0"/>
              <w:autoSpaceDN w:val="0"/>
              <w:adjustRightInd w:val="0"/>
              <w:spacing w:before="15" w:after="15" w:line="218" w:lineRule="exact"/>
              <w:ind w:left="30" w:right="30"/>
            </w:pPr>
            <w:r w:rsidRPr="009E50E6">
              <w:rPr>
                <w:color w:val="000000"/>
                <w:sz w:val="19"/>
                <w:szCs w:val="19"/>
              </w:rPr>
              <w:t>определять концептуальные границы применимости методологических подходов: комплексного, междисциплинарного, целостного и системного.</w:t>
            </w:r>
          </w:p>
        </w:tc>
        <w:tc>
          <w:tcPr>
            <w:tcW w:w="2197" w:type="dxa"/>
          </w:tcPr>
          <w:p w:rsidR="009E50E6" w:rsidRPr="009E50E6" w:rsidRDefault="009E50E6" w:rsidP="00844989">
            <w:pPr>
              <w:rPr>
                <w:sz w:val="20"/>
                <w:szCs w:val="20"/>
              </w:rPr>
            </w:pPr>
            <w:r w:rsidRPr="009E50E6">
              <w:rPr>
                <w:sz w:val="20"/>
                <w:szCs w:val="20"/>
              </w:rPr>
              <w:t>Продемонстрировано фрагментарное умение</w:t>
            </w:r>
            <w:r w:rsidRPr="009E50E6">
              <w:rPr>
                <w:color w:val="000000"/>
                <w:sz w:val="20"/>
                <w:szCs w:val="20"/>
              </w:rPr>
              <w:t xml:space="preserve"> </w:t>
            </w:r>
            <w:r w:rsidRPr="009E50E6">
              <w:rPr>
                <w:color w:val="000000"/>
                <w:sz w:val="19"/>
                <w:szCs w:val="19"/>
              </w:rPr>
              <w:t>определять концептуальные границы применимости методологических подходов: комплексного, междисциплинарного, целостного и системного.</w:t>
            </w:r>
          </w:p>
        </w:tc>
        <w:tc>
          <w:tcPr>
            <w:tcW w:w="2198" w:type="dxa"/>
          </w:tcPr>
          <w:p w:rsidR="009E50E6" w:rsidRPr="009E50E6" w:rsidRDefault="009E50E6" w:rsidP="00844989">
            <w:pPr>
              <w:rPr>
                <w:sz w:val="20"/>
                <w:szCs w:val="20"/>
              </w:rPr>
            </w:pPr>
            <w:r w:rsidRPr="009E50E6">
              <w:rPr>
                <w:sz w:val="20"/>
                <w:szCs w:val="20"/>
              </w:rPr>
              <w:t xml:space="preserve">Продемонстрированы существенные пробелы в сформированном умении </w:t>
            </w:r>
            <w:r w:rsidRPr="009E50E6">
              <w:rPr>
                <w:color w:val="000000"/>
                <w:sz w:val="19"/>
                <w:szCs w:val="19"/>
              </w:rPr>
              <w:t>определять концептуальные границы применимости методологических подходов: комплексного, междисциплинарного, целостного и системного.</w:t>
            </w:r>
          </w:p>
        </w:tc>
        <w:tc>
          <w:tcPr>
            <w:tcW w:w="2198" w:type="dxa"/>
          </w:tcPr>
          <w:p w:rsidR="009E50E6" w:rsidRPr="009E50E6" w:rsidRDefault="009E50E6" w:rsidP="00844989">
            <w:pPr>
              <w:rPr>
                <w:sz w:val="20"/>
                <w:szCs w:val="20"/>
              </w:rPr>
            </w:pPr>
            <w:r w:rsidRPr="009E50E6">
              <w:rPr>
                <w:sz w:val="20"/>
                <w:szCs w:val="20"/>
              </w:rPr>
              <w:t xml:space="preserve">Продемонстрированы отдельные пробелы в сформированном умении </w:t>
            </w:r>
            <w:r w:rsidRPr="009E50E6">
              <w:rPr>
                <w:color w:val="000000"/>
                <w:sz w:val="19"/>
                <w:szCs w:val="19"/>
              </w:rPr>
              <w:t>определять концептуальные границы применимости методологических подходов: комплексного, междисциплинарного, целостного и системного.</w:t>
            </w:r>
          </w:p>
        </w:tc>
        <w:tc>
          <w:tcPr>
            <w:tcW w:w="2198" w:type="dxa"/>
          </w:tcPr>
          <w:p w:rsidR="009E50E6" w:rsidRPr="009E50E6" w:rsidRDefault="009E50E6" w:rsidP="00844989">
            <w:pPr>
              <w:rPr>
                <w:sz w:val="20"/>
                <w:szCs w:val="20"/>
              </w:rPr>
            </w:pPr>
            <w:r w:rsidRPr="009E50E6">
              <w:rPr>
                <w:sz w:val="20"/>
                <w:szCs w:val="20"/>
              </w:rPr>
              <w:t xml:space="preserve">Продемонстрировано сформированное умение </w:t>
            </w:r>
            <w:r w:rsidRPr="009E50E6">
              <w:rPr>
                <w:color w:val="000000"/>
                <w:sz w:val="19"/>
                <w:szCs w:val="19"/>
              </w:rPr>
              <w:t>определять концептуальные границы применимости методологических подходов: комплексного, междисциплинарного, целостного и системного.</w:t>
            </w:r>
          </w:p>
        </w:tc>
      </w:tr>
      <w:tr w:rsidR="009E50E6" w:rsidTr="00844989">
        <w:tc>
          <w:tcPr>
            <w:tcW w:w="2197" w:type="dxa"/>
          </w:tcPr>
          <w:p w:rsidR="009E50E6" w:rsidRPr="009E50E6" w:rsidRDefault="009E50E6" w:rsidP="00844989">
            <w:pPr>
              <w:widowControl w:val="0"/>
              <w:autoSpaceDE w:val="0"/>
              <w:autoSpaceDN w:val="0"/>
              <w:adjustRightInd w:val="0"/>
              <w:spacing w:before="15" w:after="15" w:line="218" w:lineRule="exact"/>
              <w:ind w:left="30" w:right="30"/>
              <w:rPr>
                <w:b/>
                <w:bCs/>
                <w:color w:val="000000"/>
                <w:sz w:val="20"/>
                <w:szCs w:val="20"/>
              </w:rPr>
            </w:pPr>
            <w:r w:rsidRPr="009E50E6">
              <w:rPr>
                <w:b/>
                <w:bCs/>
                <w:color w:val="000000"/>
                <w:sz w:val="20"/>
                <w:szCs w:val="20"/>
              </w:rPr>
              <w:t>Владеть:</w:t>
            </w:r>
          </w:p>
          <w:p w:rsidR="009E50E6" w:rsidRPr="009E50E6" w:rsidRDefault="009E50E6" w:rsidP="00844989">
            <w:pPr>
              <w:widowControl w:val="0"/>
              <w:autoSpaceDE w:val="0"/>
              <w:autoSpaceDN w:val="0"/>
              <w:adjustRightInd w:val="0"/>
            </w:pPr>
            <w:r w:rsidRPr="009E50E6">
              <w:rPr>
                <w:color w:val="000000"/>
                <w:sz w:val="19"/>
                <w:szCs w:val="19"/>
              </w:rPr>
              <w:t>способами реализации концепций философии и истории науки для проектирования и осуществления самостоятельных исследований</w:t>
            </w:r>
          </w:p>
        </w:tc>
        <w:tc>
          <w:tcPr>
            <w:tcW w:w="2197" w:type="dxa"/>
          </w:tcPr>
          <w:p w:rsidR="009E50E6" w:rsidRPr="009E50E6" w:rsidRDefault="009E50E6" w:rsidP="00844989">
            <w:pPr>
              <w:rPr>
                <w:sz w:val="20"/>
                <w:szCs w:val="20"/>
              </w:rPr>
            </w:pPr>
            <w:r w:rsidRPr="009E50E6">
              <w:rPr>
                <w:sz w:val="20"/>
                <w:szCs w:val="20"/>
              </w:rPr>
              <w:t xml:space="preserve">Продемонстрировано фрагментарное владение </w:t>
            </w:r>
            <w:r w:rsidRPr="009E50E6">
              <w:rPr>
                <w:color w:val="000000"/>
                <w:sz w:val="19"/>
                <w:szCs w:val="19"/>
              </w:rPr>
              <w:t>способами реализации концепций философии и истории науки для проектирования и осуществления самостоятельных исследований</w:t>
            </w:r>
          </w:p>
        </w:tc>
        <w:tc>
          <w:tcPr>
            <w:tcW w:w="2198" w:type="dxa"/>
          </w:tcPr>
          <w:p w:rsidR="009E50E6" w:rsidRPr="009E50E6" w:rsidRDefault="009E50E6" w:rsidP="00844989">
            <w:pPr>
              <w:rPr>
                <w:sz w:val="20"/>
                <w:szCs w:val="20"/>
              </w:rPr>
            </w:pPr>
            <w:r w:rsidRPr="009E50E6">
              <w:rPr>
                <w:sz w:val="20"/>
                <w:szCs w:val="20"/>
              </w:rPr>
              <w:t>Продемонстрированы существенные пробелы в сформированном умении владеть</w:t>
            </w:r>
            <w:r w:rsidRPr="009E50E6">
              <w:rPr>
                <w:color w:val="000000"/>
                <w:sz w:val="19"/>
                <w:szCs w:val="19"/>
              </w:rPr>
              <w:t xml:space="preserve"> способами реализации концепций философии и истории науки для проектирования и осуществления самостоятельных исследований</w:t>
            </w:r>
          </w:p>
          <w:p w:rsidR="009E50E6" w:rsidRPr="009E50E6" w:rsidRDefault="009E50E6" w:rsidP="00844989">
            <w:pPr>
              <w:rPr>
                <w:sz w:val="20"/>
                <w:szCs w:val="20"/>
              </w:rPr>
            </w:pPr>
          </w:p>
        </w:tc>
        <w:tc>
          <w:tcPr>
            <w:tcW w:w="2198" w:type="dxa"/>
          </w:tcPr>
          <w:p w:rsidR="009E50E6" w:rsidRPr="009E50E6" w:rsidRDefault="009E50E6" w:rsidP="00844989">
            <w:pPr>
              <w:rPr>
                <w:sz w:val="20"/>
                <w:szCs w:val="20"/>
              </w:rPr>
            </w:pPr>
            <w:r w:rsidRPr="009E50E6">
              <w:rPr>
                <w:sz w:val="20"/>
                <w:szCs w:val="20"/>
              </w:rPr>
              <w:t xml:space="preserve">Продемонстрированы отдельные пробелы во владении </w:t>
            </w:r>
            <w:r w:rsidRPr="009E50E6">
              <w:rPr>
                <w:color w:val="000000"/>
                <w:sz w:val="19"/>
                <w:szCs w:val="19"/>
              </w:rPr>
              <w:t>способами реализации концепций философии и истории науки для проектирования и осуществления самостоятельных исследований</w:t>
            </w:r>
          </w:p>
        </w:tc>
        <w:tc>
          <w:tcPr>
            <w:tcW w:w="2198" w:type="dxa"/>
          </w:tcPr>
          <w:p w:rsidR="009E50E6" w:rsidRDefault="009E50E6" w:rsidP="00844989">
            <w:pPr>
              <w:widowControl w:val="0"/>
              <w:autoSpaceDE w:val="0"/>
              <w:autoSpaceDN w:val="0"/>
              <w:adjustRightInd w:val="0"/>
              <w:rPr>
                <w:color w:val="000000"/>
                <w:sz w:val="20"/>
                <w:szCs w:val="20"/>
              </w:rPr>
            </w:pPr>
            <w:r w:rsidRPr="009E50E6">
              <w:rPr>
                <w:sz w:val="20"/>
                <w:szCs w:val="20"/>
              </w:rPr>
              <w:t xml:space="preserve">Продемонстрировано свободное владение </w:t>
            </w:r>
            <w:r w:rsidRPr="009E50E6">
              <w:rPr>
                <w:color w:val="000000"/>
                <w:sz w:val="19"/>
                <w:szCs w:val="19"/>
              </w:rPr>
              <w:t>способами реализации концепций философии и истории науки для проектирования и осуществления самостоятельных исследований</w:t>
            </w:r>
          </w:p>
          <w:p w:rsidR="009E50E6" w:rsidRPr="000F1E81" w:rsidRDefault="009E50E6" w:rsidP="00844989">
            <w:pPr>
              <w:rPr>
                <w:sz w:val="20"/>
                <w:szCs w:val="20"/>
              </w:rPr>
            </w:pPr>
          </w:p>
        </w:tc>
      </w:tr>
    </w:tbl>
    <w:p w:rsidR="009E50E6" w:rsidRDefault="009E50E6" w:rsidP="009E50E6">
      <w:pPr>
        <w:ind w:firstLine="709"/>
      </w:pPr>
    </w:p>
    <w:p w:rsidR="009E50E6" w:rsidRDefault="009E50E6" w:rsidP="009E50E6">
      <w:pPr>
        <w:ind w:firstLine="709"/>
      </w:pPr>
      <w:r>
        <w:t xml:space="preserve">Шкала оценивания </w:t>
      </w:r>
      <w:proofErr w:type="spellStart"/>
      <w:r>
        <w:t>сформированности</w:t>
      </w:r>
      <w:proofErr w:type="spellEnd"/>
      <w:r>
        <w:t xml:space="preserve"> каждого из результатов обучения</w:t>
      </w:r>
    </w:p>
    <w:tbl>
      <w:tblPr>
        <w:tblStyle w:val="a3"/>
        <w:tblW w:w="0" w:type="auto"/>
        <w:jc w:val="center"/>
        <w:tblInd w:w="2943" w:type="dxa"/>
        <w:tblLook w:val="04A0"/>
      </w:tblPr>
      <w:tblGrid>
        <w:gridCol w:w="1842"/>
        <w:gridCol w:w="2269"/>
      </w:tblGrid>
      <w:tr w:rsidR="009E50E6" w:rsidTr="00FB7C4F">
        <w:trPr>
          <w:jc w:val="center"/>
        </w:trPr>
        <w:tc>
          <w:tcPr>
            <w:tcW w:w="1842" w:type="dxa"/>
          </w:tcPr>
          <w:p w:rsidR="009E50E6" w:rsidRDefault="009E50E6" w:rsidP="00FB7C4F">
            <w:pPr>
              <w:jc w:val="center"/>
            </w:pPr>
            <w:r>
              <w:t>Баллы</w:t>
            </w:r>
          </w:p>
        </w:tc>
        <w:tc>
          <w:tcPr>
            <w:tcW w:w="2269" w:type="dxa"/>
          </w:tcPr>
          <w:p w:rsidR="009E50E6" w:rsidRDefault="009E50E6" w:rsidP="00FB7C4F">
            <w:pPr>
              <w:jc w:val="center"/>
            </w:pPr>
            <w:r>
              <w:t>Уровень</w:t>
            </w:r>
          </w:p>
        </w:tc>
      </w:tr>
      <w:tr w:rsidR="009E50E6" w:rsidTr="00FB7C4F">
        <w:trPr>
          <w:jc w:val="center"/>
        </w:trPr>
        <w:tc>
          <w:tcPr>
            <w:tcW w:w="1842" w:type="dxa"/>
          </w:tcPr>
          <w:p w:rsidR="009E50E6" w:rsidRDefault="009E50E6" w:rsidP="00FB7C4F">
            <w:pPr>
              <w:jc w:val="center"/>
            </w:pPr>
            <w:r>
              <w:t>5</w:t>
            </w:r>
          </w:p>
        </w:tc>
        <w:tc>
          <w:tcPr>
            <w:tcW w:w="2269" w:type="dxa"/>
          </w:tcPr>
          <w:p w:rsidR="009E50E6" w:rsidRDefault="009E50E6" w:rsidP="00FB7C4F">
            <w:pPr>
              <w:jc w:val="center"/>
            </w:pPr>
            <w:r>
              <w:t>высокий</w:t>
            </w:r>
          </w:p>
        </w:tc>
      </w:tr>
      <w:tr w:rsidR="009E50E6" w:rsidTr="00FB7C4F">
        <w:trPr>
          <w:jc w:val="center"/>
        </w:trPr>
        <w:tc>
          <w:tcPr>
            <w:tcW w:w="1842" w:type="dxa"/>
          </w:tcPr>
          <w:p w:rsidR="009E50E6" w:rsidRDefault="009E50E6" w:rsidP="00FB7C4F">
            <w:pPr>
              <w:jc w:val="center"/>
            </w:pPr>
            <w:r>
              <w:t>4</w:t>
            </w:r>
          </w:p>
        </w:tc>
        <w:tc>
          <w:tcPr>
            <w:tcW w:w="2269" w:type="dxa"/>
          </w:tcPr>
          <w:p w:rsidR="009E50E6" w:rsidRDefault="009E50E6" w:rsidP="00FB7C4F">
            <w:pPr>
              <w:jc w:val="center"/>
            </w:pPr>
            <w:r>
              <w:t>выше среднего</w:t>
            </w:r>
          </w:p>
        </w:tc>
      </w:tr>
      <w:tr w:rsidR="009E50E6" w:rsidTr="00FB7C4F">
        <w:trPr>
          <w:jc w:val="center"/>
        </w:trPr>
        <w:tc>
          <w:tcPr>
            <w:tcW w:w="1842" w:type="dxa"/>
          </w:tcPr>
          <w:p w:rsidR="009E50E6" w:rsidRDefault="009E50E6" w:rsidP="00FB7C4F">
            <w:pPr>
              <w:jc w:val="center"/>
            </w:pPr>
            <w:r>
              <w:t>3</w:t>
            </w:r>
          </w:p>
        </w:tc>
        <w:tc>
          <w:tcPr>
            <w:tcW w:w="2269" w:type="dxa"/>
          </w:tcPr>
          <w:p w:rsidR="009E50E6" w:rsidRDefault="009E50E6" w:rsidP="00FB7C4F">
            <w:pPr>
              <w:jc w:val="center"/>
            </w:pPr>
            <w:r>
              <w:t>средний</w:t>
            </w:r>
          </w:p>
        </w:tc>
      </w:tr>
      <w:tr w:rsidR="009E50E6" w:rsidTr="00FB7C4F">
        <w:trPr>
          <w:jc w:val="center"/>
        </w:trPr>
        <w:tc>
          <w:tcPr>
            <w:tcW w:w="1842" w:type="dxa"/>
          </w:tcPr>
          <w:p w:rsidR="009E50E6" w:rsidRDefault="009E50E6" w:rsidP="00FB7C4F">
            <w:pPr>
              <w:jc w:val="center"/>
            </w:pPr>
            <w:r>
              <w:t>2</w:t>
            </w:r>
          </w:p>
        </w:tc>
        <w:tc>
          <w:tcPr>
            <w:tcW w:w="2269" w:type="dxa"/>
          </w:tcPr>
          <w:p w:rsidR="009E50E6" w:rsidRDefault="009E50E6" w:rsidP="00FB7C4F">
            <w:pPr>
              <w:jc w:val="center"/>
            </w:pPr>
            <w:r>
              <w:t>низкий</w:t>
            </w:r>
          </w:p>
        </w:tc>
      </w:tr>
    </w:tbl>
    <w:p w:rsidR="009E50E6" w:rsidRPr="009E50E6" w:rsidRDefault="009E50E6" w:rsidP="009E50E6">
      <w:pPr>
        <w:ind w:firstLine="709"/>
      </w:pPr>
    </w:p>
    <w:sectPr w:rsidR="009E50E6" w:rsidRPr="009E50E6" w:rsidSect="004A31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9E50E6"/>
    <w:rsid w:val="00025CBB"/>
    <w:rsid w:val="00093C42"/>
    <w:rsid w:val="00127E78"/>
    <w:rsid w:val="002D10D5"/>
    <w:rsid w:val="003631F8"/>
    <w:rsid w:val="003D1064"/>
    <w:rsid w:val="0043657E"/>
    <w:rsid w:val="00457F81"/>
    <w:rsid w:val="004A3110"/>
    <w:rsid w:val="0059302E"/>
    <w:rsid w:val="00771CCC"/>
    <w:rsid w:val="007A3143"/>
    <w:rsid w:val="008A68CA"/>
    <w:rsid w:val="008E49EA"/>
    <w:rsid w:val="0092000A"/>
    <w:rsid w:val="009E50E6"/>
    <w:rsid w:val="00A27DB5"/>
    <w:rsid w:val="00B169FD"/>
    <w:rsid w:val="00BD4544"/>
    <w:rsid w:val="00BE1B9C"/>
    <w:rsid w:val="00BE27F4"/>
    <w:rsid w:val="00C04CBB"/>
    <w:rsid w:val="00DC116D"/>
    <w:rsid w:val="00DD60EA"/>
    <w:rsid w:val="00E448F2"/>
    <w:rsid w:val="00E84E6F"/>
    <w:rsid w:val="00FB7C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0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E50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1127</Words>
  <Characters>6428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qwerty</Company>
  <LinksUpToDate>false</LinksUpToDate>
  <CharactersWithSpaces>7540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dc:creator>
  <cp:keywords/>
  <dc:description/>
  <cp:lastModifiedBy>qwerty</cp:lastModifiedBy>
  <cp:revision>4</cp:revision>
  <dcterms:created xsi:type="dcterms:W3CDTF">2023-06-27T07:49:00Z</dcterms:created>
  <dcterms:modified xsi:type="dcterms:W3CDTF">2023-06-27T08:45:00Z</dcterms:modified>
</cp:coreProperties>
</file>