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3AA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Наименование оценочных средств по контролируемым разделам дисциплины</w:t>
      </w:r>
    </w:p>
    <w:p w14:paraId="3FD6B63E">
      <w:pPr>
        <w:spacing w:after="0" w:line="240" w:lineRule="auto"/>
        <w:jc w:val="center"/>
        <w:rPr>
          <w:rFonts w:ascii="Times New Roman" w:hAnsi="Times New Roman" w:eastAsia="Droid Sans Fallback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Droid Sans Fallback" w:cs="Times New Roman"/>
          <w:b/>
          <w:sz w:val="20"/>
          <w:szCs w:val="20"/>
          <w:lang w:eastAsia="ru-RU"/>
        </w:rPr>
        <w:t>«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Нормативно-правовые основы профессиональной деятельности и антикоррупционное поведение</w:t>
      </w:r>
      <w:r>
        <w:rPr>
          <w:rFonts w:ascii="Times New Roman" w:hAnsi="Times New Roman" w:eastAsia="Droid Sans Fallback" w:cs="Times New Roman"/>
          <w:b/>
          <w:sz w:val="20"/>
          <w:szCs w:val="20"/>
          <w:lang w:eastAsia="ru-RU"/>
        </w:rPr>
        <w:t>»</w:t>
      </w:r>
    </w:p>
    <w:p w14:paraId="410DB413">
      <w:pPr>
        <w:spacing w:after="0" w:line="240" w:lineRule="auto"/>
        <w:jc w:val="center"/>
        <w:rPr>
          <w:rFonts w:ascii="Times New Roman" w:hAnsi="Times New Roman" w:eastAsia="Droid Sans Fallback" w:cs="Times New Roman"/>
          <w:b/>
          <w:sz w:val="20"/>
          <w:szCs w:val="20"/>
          <w:lang w:eastAsia="ru-RU"/>
        </w:rPr>
      </w:pPr>
    </w:p>
    <w:tbl>
      <w:tblPr>
        <w:tblStyle w:val="3"/>
        <w:tblW w:w="10491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537"/>
        <w:gridCol w:w="1276"/>
        <w:gridCol w:w="4111"/>
      </w:tblGrid>
      <w:tr w14:paraId="010B97C1">
        <w:trPr>
          <w:trHeight w:val="30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02A500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Droid Sans Fallback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Droid Sans Fallback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B605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Droid Sans Fallback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Контролируемые темы дисциплины</w:t>
            </w: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332852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Контролируемые результаты</w:t>
            </w:r>
          </w:p>
          <w:p w14:paraId="0CE8F6A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Droid Sans Fallback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 обучения</w:t>
            </w:r>
          </w:p>
        </w:tc>
        <w:tc>
          <w:tcPr>
            <w:tcW w:w="4111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F0CCF6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Droid Sans Fallback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Droid Sans Fallback" w:cs="Times New Roman"/>
                <w:b/>
                <w:sz w:val="20"/>
                <w:szCs w:val="20"/>
                <w:lang w:eastAsia="ru-RU"/>
              </w:rPr>
              <w:t>Наименование оценочного средства</w:t>
            </w:r>
          </w:p>
        </w:tc>
      </w:tr>
      <w:tr w14:paraId="66141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4D94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Droid Sans Fallback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Droid Sans Fallback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0AAD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Droid Sans Fallback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E10D540">
            <w:pPr>
              <w:suppressAutoHyphens/>
              <w:spacing w:after="0" w:line="240" w:lineRule="auto"/>
              <w:jc w:val="both"/>
              <w:rPr>
                <w:rFonts w:ascii="Times New Roman" w:hAnsi="Times New Roman" w:eastAsia="Droid Sans Fallback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DB8E6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Droid Sans Fallback" w:cs="Times New Roman"/>
                <w:sz w:val="20"/>
                <w:szCs w:val="20"/>
                <w:lang w:eastAsia="ru-RU"/>
              </w:rPr>
            </w:pPr>
          </w:p>
        </w:tc>
      </w:tr>
      <w:tr w14:paraId="26F68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6C9E9">
            <w:pPr>
              <w:suppressAutoHyphens/>
              <w:spacing w:after="0" w:line="240" w:lineRule="auto"/>
              <w:jc w:val="both"/>
              <w:rPr>
                <w:rFonts w:ascii="Times New Roman" w:hAnsi="Times New Roman" w:eastAsia="Droid Sans Fallback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Droid Sans Fallback" w:cs="Times New Roman"/>
                <w:bCs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4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19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hint="default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Понятие и основные характеристики правого регулирования системы образования</w:t>
            </w: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E31222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ОПК-</w:t>
            </w:r>
            <w:r>
              <w:rPr>
                <w:rFonts w:hint="default"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49D43F8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Droid Sans Fallback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УК-10</w:t>
            </w:r>
          </w:p>
        </w:tc>
        <w:tc>
          <w:tcPr>
            <w:tcW w:w="411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0D129">
            <w:pPr>
              <w:jc w:val="center"/>
              <w:rPr>
                <w:rFonts w:ascii="Times New Roman" w:hAnsi="Times New Roman" w:eastAsia="Droid Sans Fallback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Droid Sans Fallback" w:cs="Times New Roman"/>
                <w:b/>
                <w:sz w:val="20"/>
                <w:szCs w:val="20"/>
                <w:lang w:eastAsia="ru-RU"/>
              </w:rPr>
              <w:t>Вопросы к зачету</w:t>
            </w:r>
          </w:p>
          <w:p w14:paraId="60DB9CC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Droid Sans Fallback" w:cs="Times New Roman"/>
                <w:bCs/>
                <w:sz w:val="20"/>
                <w:szCs w:val="20"/>
                <w:lang w:eastAsia="ru-RU"/>
              </w:rPr>
            </w:pPr>
          </w:p>
        </w:tc>
      </w:tr>
      <w:tr w14:paraId="4196A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F5DB1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Droid Sans Fallback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Droid Sans Fallback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BF62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eastAsia="Droid Sans Fallback" w:cs="Times New Roman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Управление системой образования</w:t>
            </w:r>
            <w:r>
              <w:rPr>
                <w:rFonts w:ascii="Times New Roman" w:hAnsi="Times New Roman" w:eastAsia="Droid Sans Fallback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2AC05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Droid Sans Fallback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AFDD04">
            <w:pPr>
              <w:suppressAutoHyphens/>
              <w:spacing w:after="0" w:line="240" w:lineRule="auto"/>
              <w:jc w:val="both"/>
              <w:rPr>
                <w:rFonts w:ascii="Times New Roman" w:hAnsi="Times New Roman" w:eastAsia="Droid Sans Fallback" w:cs="Times New Roman"/>
                <w:sz w:val="20"/>
                <w:szCs w:val="20"/>
                <w:lang w:eastAsia="ru-RU"/>
              </w:rPr>
            </w:pPr>
          </w:p>
        </w:tc>
      </w:tr>
    </w:tbl>
    <w:p w14:paraId="58BA8994">
      <w:pPr>
        <w:suppressAutoHyphens/>
        <w:spacing w:after="0" w:line="240" w:lineRule="auto"/>
        <w:jc w:val="center"/>
        <w:rPr>
          <w:rFonts w:ascii="Times New Roman" w:hAnsi="Times New Roman" w:eastAsia="Droid Sans Fallback" w:cs="Times New Roman"/>
          <w:b/>
          <w:sz w:val="20"/>
          <w:szCs w:val="20"/>
          <w:lang w:eastAsia="ru-RU"/>
        </w:rPr>
      </w:pPr>
    </w:p>
    <w:p w14:paraId="39DAE8C9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73C3CE2A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59E060F9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1DAEC527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645DD625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22E9409E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1DCC0540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64D88B1D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56129E52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6AD55488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1FF04F48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04E5FFDA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530D7CA0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30F94025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6A6DAAEB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69343340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630F635A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543A418F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319B478A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5CF25FF1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14:paraId="7CA346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Комплект  компетентностно-ориентированных заданий</w:t>
      </w:r>
    </w:p>
    <w:p w14:paraId="017D77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МАТЕРИАЛЫ ДЛЯ ПРОВЕДЕНИЯ ПРОМЕЖУТОЧНОЙ АТТЕСТАЦИИ</w:t>
      </w:r>
    </w:p>
    <w:p w14:paraId="5BC3A80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Задания зачету  по дисциплине «Нормативно-правовые основы профессиональной деятельности и антикоррупционное поведение»</w:t>
      </w:r>
    </w:p>
    <w:p w14:paraId="135A11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en-US"/>
        </w:rPr>
        <w:t>7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семестр</w:t>
      </w:r>
    </w:p>
    <w:p w14:paraId="2C590A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  <w:shd w:val="clear" w:color="auto" w:fill="FFFFFF"/>
        </w:rPr>
        <w:t>Вопросы к зачету</w:t>
      </w:r>
    </w:p>
    <w:p w14:paraId="402ADE9F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Основные задачи правового регулирования отношений в сфере образования.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 w14:paraId="3B4726A5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 xml:space="preserve">Понятие и признаки нормативно-правового акта. </w:t>
      </w:r>
    </w:p>
    <w:p w14:paraId="05CB9BB8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 xml:space="preserve">Законы и подзаконные нормативно-правовые акты. </w:t>
      </w:r>
    </w:p>
    <w:p w14:paraId="53D140A2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Принцип федерализма в законодательной деятельности федерации и ее субъектов. </w:t>
      </w:r>
    </w:p>
    <w:p w14:paraId="58B37787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Особенности образовательного правотворчества субъектов Российской Федерации. </w:t>
      </w:r>
    </w:p>
    <w:p w14:paraId="0B38D57A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Особенности муниципального образовательного правотворчества. </w:t>
      </w:r>
    </w:p>
    <w:p w14:paraId="3776E5ED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Субъекты и объект образовательных правоотношений. </w:t>
      </w:r>
    </w:p>
    <w:p w14:paraId="2791BE05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Образовательные отношения </w:t>
      </w:r>
    </w:p>
    <w:p w14:paraId="713499CB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Отношения между обучающимися и образовательными организациями, вытекающие из образовательных отношений. </w:t>
      </w:r>
    </w:p>
    <w:p w14:paraId="427DC2E1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Правовой статус образовательных организаций</w:t>
      </w:r>
    </w:p>
    <w:p w14:paraId="61F6C7FA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 xml:space="preserve">Правовой статус педагогических работников. </w:t>
      </w:r>
    </w:p>
    <w:p w14:paraId="6C8E9C14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 xml:space="preserve">Права и свободы педагогических работников, гарантии их реализации. </w:t>
      </w:r>
    </w:p>
    <w:p w14:paraId="42C1E173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 xml:space="preserve">Обязанности и ответственность педагогических работников. </w:t>
      </w:r>
    </w:p>
    <w:p w14:paraId="021C525B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 xml:space="preserve">Аттестация педагогических работников. </w:t>
      </w:r>
    </w:p>
    <w:p w14:paraId="22106D77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>Особенности регулирования труда педагогических работников.</w:t>
      </w:r>
    </w:p>
    <w:p w14:paraId="0F2EF85A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 xml:space="preserve">Государственные органы управления образованием на федеральном уровне. </w:t>
      </w:r>
    </w:p>
    <w:p w14:paraId="238A7B63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>Компетенция федеральных органов управления образованием.</w:t>
      </w:r>
    </w:p>
    <w:p w14:paraId="33F604B2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 xml:space="preserve">Управление системой образования на уровне субъекта Российской Федерации. </w:t>
      </w:r>
    </w:p>
    <w:p w14:paraId="3F30D7AE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 xml:space="preserve">Региональные органы управления образованием. </w:t>
      </w:r>
    </w:p>
    <w:p w14:paraId="23863FAC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>Полномочия органов государственной власти субъектов Российской Федерации в сфере образования.</w:t>
      </w:r>
    </w:p>
    <w:p w14:paraId="597B08CA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 xml:space="preserve">Полномочия органов местного самоуправления муниципальных районов и городских округов в сфере образования. </w:t>
      </w:r>
    </w:p>
    <w:p w14:paraId="624DD7F6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>Муниципальные органы управления образованием.</w:t>
      </w:r>
    </w:p>
    <w:p w14:paraId="5625C66D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 xml:space="preserve">Правовые основы управления организацией, осуществляющей образовательную деятельность. </w:t>
      </w:r>
    </w:p>
    <w:p w14:paraId="0C28C68C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>Антикоррупционная политика в сфере образования</w:t>
      </w:r>
    </w:p>
    <w:p w14:paraId="07638B5D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 xml:space="preserve">Причины распространения коррупции в сфере образования. </w:t>
      </w:r>
    </w:p>
    <w:p w14:paraId="745EBC4D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>Меры профилактики коррупции в системе образования.</w:t>
      </w:r>
    </w:p>
    <w:p w14:paraId="5033EA67">
      <w:pPr>
        <w:pStyle w:val="8"/>
        <w:widowControl w:val="0"/>
        <w:numPr>
          <w:ilvl w:val="0"/>
          <w:numId w:val="1"/>
        </w:numPr>
        <w:snapToGrid w:val="0"/>
        <w:spacing w:after="0" w:line="200" w:lineRule="atLeast"/>
        <w:jc w:val="both"/>
        <w:rPr>
          <w:rFonts w:ascii="Times New Roman" w:hAnsi="Times New Roman" w:eastAsia="Lucida Sans Unicode"/>
          <w:kern w:val="2"/>
          <w:sz w:val="28"/>
          <w:szCs w:val="28"/>
          <w:lang w:eastAsia="ar-SA"/>
        </w:rPr>
      </w:pPr>
      <w:r>
        <w:rPr>
          <w:rFonts w:ascii="Times New Roman" w:hAnsi="Times New Roman" w:eastAsia="Lucida Sans Unicode"/>
          <w:kern w:val="2"/>
          <w:sz w:val="28"/>
          <w:szCs w:val="28"/>
          <w:lang w:eastAsia="ar-SA"/>
        </w:rPr>
        <w:t>Ответственность за коррупционные правонарушения.</w:t>
      </w:r>
    </w:p>
    <w:p w14:paraId="1D36F58C">
      <w:pPr>
        <w:tabs>
          <w:tab w:val="left" w:pos="335"/>
        </w:tabs>
        <w:suppressAutoHyphens/>
        <w:spacing w:after="0" w:line="240" w:lineRule="auto"/>
        <w:ind w:left="644"/>
        <w:jc w:val="both"/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ar-SA"/>
        </w:rPr>
      </w:pPr>
    </w:p>
    <w:p w14:paraId="47C95D9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733F826B">
      <w:pPr>
        <w:pStyle w:val="7"/>
        <w:tabs>
          <w:tab w:val="left" w:pos="-2268"/>
        </w:tabs>
        <w:jc w:val="center"/>
      </w:pPr>
      <w:r>
        <w:t>Шкала оценивания сформированности планируемых результатов обучения по дисциплине (</w:t>
      </w:r>
      <w:r>
        <w:rPr>
          <w:lang w:val="ru-RU"/>
        </w:rPr>
        <w:t>зачет</w:t>
      </w:r>
      <w:r>
        <w:t>)</w:t>
      </w:r>
    </w:p>
    <w:p w14:paraId="081F6181">
      <w:pPr>
        <w:pStyle w:val="7"/>
        <w:tabs>
          <w:tab w:val="left" w:pos="-2268"/>
        </w:tabs>
        <w:jc w:val="center"/>
        <w:rPr>
          <w:b/>
        </w:rPr>
      </w:pPr>
      <w:r>
        <w:rPr>
          <w:b/>
        </w:rPr>
        <w:t>Критерии оценивания ответа на зачете</w:t>
      </w:r>
    </w:p>
    <w:p w14:paraId="4B0C81ED">
      <w:pPr>
        <w:pStyle w:val="7"/>
        <w:tabs>
          <w:tab w:val="left" w:pos="-2268"/>
        </w:tabs>
        <w:jc w:val="center"/>
      </w:pPr>
    </w:p>
    <w:p w14:paraId="57DB33E7">
      <w:pPr>
        <w:pStyle w:val="7"/>
        <w:tabs>
          <w:tab w:val="left" w:pos="-2268"/>
        </w:tabs>
        <w:jc w:val="both"/>
      </w:pPr>
      <w:r>
        <w:t xml:space="preserve">1) “Зачтено” ставится за ответы, в которых грамотно изложены теоретические и методические идеи, сформулирована суть основных понятий и терминов, приведены примеры; </w:t>
      </w:r>
    </w:p>
    <w:p w14:paraId="7C9AC31C">
      <w:pPr>
        <w:pStyle w:val="7"/>
        <w:tabs>
          <w:tab w:val="left" w:pos="-2268"/>
        </w:tabs>
        <w:jc w:val="both"/>
      </w:pPr>
      <w:r>
        <w:t>4) “Не зачтено” ставится за ответы, где нет теоретического представления об актуальных проблемах преподавания литературы и способах их решения, в определении основных понятий присутствует более трех фактических ошибок.</w:t>
      </w:r>
    </w:p>
    <w:p w14:paraId="35846EA6">
      <w:pPr>
        <w:pStyle w:val="7"/>
        <w:tabs>
          <w:tab w:val="left" w:pos="-2268"/>
        </w:tabs>
        <w:jc w:val="center"/>
      </w:pPr>
    </w:p>
    <w:p w14:paraId="0C9702B7">
      <w:pPr>
        <w:pStyle w:val="7"/>
        <w:tabs>
          <w:tab w:val="left" w:pos="-2268"/>
        </w:tabs>
        <w:jc w:val="center"/>
        <w:rPr>
          <w:b/>
        </w:rPr>
      </w:pPr>
      <w:r>
        <w:rPr>
          <w:b/>
        </w:rPr>
        <w:t>Критерии оценки</w:t>
      </w:r>
    </w:p>
    <w:p w14:paraId="6D237802">
      <w:pPr>
        <w:pStyle w:val="7"/>
        <w:tabs>
          <w:tab w:val="left" w:pos="-2268"/>
        </w:tabs>
        <w:jc w:val="center"/>
      </w:pPr>
      <w:r>
        <w:t>(критерии и показатели оценки сформированности планируемых результатов обучения)</w:t>
      </w:r>
    </w:p>
    <w:p w14:paraId="7D039509">
      <w:pPr>
        <w:pStyle w:val="7"/>
        <w:tabs>
          <w:tab w:val="left" w:pos="-2268"/>
        </w:tabs>
        <w:jc w:val="center"/>
      </w:pPr>
    </w:p>
    <w:tbl>
      <w:tblPr>
        <w:tblStyle w:val="3"/>
        <w:tblW w:w="975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7"/>
        <w:gridCol w:w="2977"/>
        <w:gridCol w:w="3118"/>
      </w:tblGrid>
      <w:tr w14:paraId="067D1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657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46C7094F">
            <w:pPr>
              <w:pStyle w:val="7"/>
              <w:tabs>
                <w:tab w:val="left" w:pos="-2268"/>
              </w:tabs>
              <w:jc w:val="center"/>
            </w:pPr>
            <w:r>
              <w:t>Планируемые</w:t>
            </w:r>
          </w:p>
          <w:p w14:paraId="2CE7599B">
            <w:pPr>
              <w:pStyle w:val="7"/>
              <w:tabs>
                <w:tab w:val="left" w:pos="-2268"/>
              </w:tabs>
              <w:jc w:val="center"/>
            </w:pPr>
            <w:r>
              <w:t>результаты обучения</w:t>
            </w:r>
          </w:p>
        </w:tc>
        <w:tc>
          <w:tcPr>
            <w:tcW w:w="60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895F417">
            <w:pPr>
              <w:pStyle w:val="7"/>
              <w:tabs>
                <w:tab w:val="left" w:pos="-2268"/>
              </w:tabs>
              <w:jc w:val="center"/>
            </w:pPr>
            <w:r>
              <w:t>Показатели оценивания, балл</w:t>
            </w:r>
          </w:p>
        </w:tc>
      </w:tr>
      <w:tr w14:paraId="18E0E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3148EFD8">
            <w:pPr>
              <w:pStyle w:val="7"/>
              <w:tabs>
                <w:tab w:val="left" w:pos="-2268"/>
              </w:tabs>
              <w:jc w:val="center"/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12B87A8">
            <w:pPr>
              <w:pStyle w:val="7"/>
              <w:tabs>
                <w:tab w:val="left" w:pos="-2268"/>
              </w:tabs>
              <w:jc w:val="center"/>
            </w:pPr>
            <w:r>
              <w:t>Не зачтено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5C2E2C">
            <w:pPr>
              <w:pStyle w:val="7"/>
              <w:tabs>
                <w:tab w:val="left" w:pos="-2268"/>
              </w:tabs>
              <w:jc w:val="center"/>
            </w:pPr>
            <w:r>
              <w:t xml:space="preserve">              Зачтено     </w:t>
            </w:r>
          </w:p>
        </w:tc>
      </w:tr>
      <w:tr w14:paraId="3BDA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D00C1EF">
            <w:pPr>
              <w:pStyle w:val="7"/>
              <w:tabs>
                <w:tab w:val="left" w:pos="-2268"/>
              </w:tabs>
              <w:jc w:val="center"/>
              <w:rPr>
                <w:rFonts w:hint="default"/>
                <w:lang w:val="en-US"/>
              </w:rPr>
            </w:pPr>
            <w:r>
              <w:t>ОПК-</w:t>
            </w: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ABB5A44">
            <w:pPr>
              <w:pStyle w:val="7"/>
              <w:tabs>
                <w:tab w:val="left" w:pos="-2268"/>
              </w:tabs>
              <w:jc w:val="both"/>
            </w:pPr>
            <w:r>
              <w:t xml:space="preserve">Не </w:t>
            </w:r>
            <w:r>
              <w:rPr>
                <w:rFonts w:hint="default"/>
                <w:lang w:val="en-US"/>
              </w:rPr>
              <w:t>c</w:t>
            </w:r>
            <w:r>
              <w:rPr>
                <w:rFonts w:hint="default"/>
              </w:rPr>
              <w:t>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7FF33">
            <w:pPr>
              <w:pStyle w:val="7"/>
              <w:tabs>
                <w:tab w:val="left" w:pos="-2268"/>
              </w:tabs>
              <w:jc w:val="both"/>
            </w:pPr>
            <w:r>
              <w:rPr>
                <w:rFonts w:hint="default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14:paraId="61CF1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902CA4A">
            <w:pPr>
              <w:pStyle w:val="7"/>
              <w:tabs>
                <w:tab w:val="left" w:pos="-2127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УК-10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DF101E8">
            <w:pPr>
              <w:pStyle w:val="7"/>
              <w:tabs>
                <w:tab w:val="left" w:pos="-2268"/>
              </w:tabs>
              <w:jc w:val="both"/>
            </w:pPr>
            <w:r>
              <w:t>Не способен формировать нетерпимое отношение к проявлениям экстремизма, терроризма, коррупционному поведению и противодействовать им в профессиональной деятельности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A8B4C">
            <w:pPr>
              <w:pStyle w:val="7"/>
              <w:tabs>
                <w:tab w:val="left" w:pos="-2268"/>
              </w:tabs>
              <w:jc w:val="both"/>
            </w:pPr>
            <w:r>
              <w:t>Способен формировать нетерпимое отношение к проявлениям экстремизма, терроризма, коррупционному поведению и противодействовать им в профессиональной деятельности</w:t>
            </w:r>
          </w:p>
        </w:tc>
      </w:tr>
    </w:tbl>
    <w:p w14:paraId="20974D04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1A268E27">
      <w:pPr>
        <w:pStyle w:val="7"/>
        <w:tabs>
          <w:tab w:val="left" w:pos="-2268"/>
        </w:tabs>
        <w:jc w:val="center"/>
      </w:pPr>
      <w:r>
        <w:t>Шкала оценивания сформированности планируемых результатов обучения по дисциплине (зачет)</w:t>
      </w:r>
    </w:p>
    <w:p w14:paraId="04D9886F">
      <w:pPr>
        <w:pStyle w:val="7"/>
        <w:tabs>
          <w:tab w:val="left" w:pos="-2268"/>
        </w:tabs>
        <w:jc w:val="center"/>
      </w:pPr>
    </w:p>
    <w:tbl>
      <w:tblPr>
        <w:tblStyle w:val="3"/>
        <w:tblW w:w="96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40"/>
        <w:gridCol w:w="3438"/>
        <w:gridCol w:w="3322"/>
      </w:tblGrid>
      <w:tr w14:paraId="629B62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ECA9">
            <w:pPr>
              <w:pStyle w:val="7"/>
              <w:tabs>
                <w:tab w:val="left" w:pos="1760"/>
              </w:tabs>
              <w:jc w:val="center"/>
            </w:pPr>
            <w:r>
              <w:t>Сумма баллов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B2EE">
            <w:pPr>
              <w:pStyle w:val="7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580D">
            <w:pPr>
              <w:pStyle w:val="7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14:paraId="0EBE52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ABB7">
            <w:pPr>
              <w:pStyle w:val="7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CF5C">
            <w:pPr>
              <w:pStyle w:val="7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F300">
            <w:pPr>
              <w:pStyle w:val="7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14:paraId="182898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9605">
            <w:pPr>
              <w:pStyle w:val="7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AB03F">
            <w:pPr>
              <w:pStyle w:val="7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928B">
            <w:pPr>
              <w:pStyle w:val="7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14:paraId="2EF867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286C">
            <w:pPr>
              <w:pStyle w:val="7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7432">
            <w:pPr>
              <w:pStyle w:val="7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76A4">
            <w:pPr>
              <w:pStyle w:val="7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14:paraId="242E52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9298">
            <w:pPr>
              <w:pStyle w:val="7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B6D5">
            <w:pPr>
              <w:pStyle w:val="7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5631">
            <w:pPr>
              <w:pStyle w:val="7"/>
              <w:tabs>
                <w:tab w:val="left" w:pos="1760"/>
              </w:tabs>
              <w:jc w:val="center"/>
            </w:pPr>
            <w:r>
              <w:t>не зачтено</w:t>
            </w:r>
          </w:p>
        </w:tc>
      </w:tr>
    </w:tbl>
    <w:p w14:paraId="4880A95B">
      <w:pPr>
        <w:pStyle w:val="7"/>
        <w:tabs>
          <w:tab w:val="left" w:pos="-2268"/>
        </w:tabs>
        <w:jc w:val="center"/>
      </w:pPr>
    </w:p>
    <w:p w14:paraId="6B1EA665">
      <w:pPr>
        <w:pStyle w:val="7"/>
        <w:tabs>
          <w:tab w:val="left" w:pos="-2268"/>
        </w:tabs>
        <w:jc w:val="center"/>
      </w:pPr>
      <w:r>
        <w:t>Шкала оценивания сформированности компетенции</w:t>
      </w:r>
    </w:p>
    <w:p w14:paraId="4E8C0EEF">
      <w:pPr>
        <w:pStyle w:val="7"/>
        <w:tabs>
          <w:tab w:val="left" w:pos="-2268"/>
        </w:tabs>
        <w:jc w:val="center"/>
      </w:pPr>
    </w:p>
    <w:tbl>
      <w:tblPr>
        <w:tblStyle w:val="3"/>
        <w:tblW w:w="95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15"/>
        <w:gridCol w:w="7325"/>
      </w:tblGrid>
      <w:tr w14:paraId="44AE1F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75F2">
            <w:pPr>
              <w:pStyle w:val="7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DD6C">
            <w:pPr>
              <w:pStyle w:val="7"/>
              <w:jc w:val="center"/>
            </w:pPr>
            <w:r>
              <w:t>Характеристика сформированности компетенции</w:t>
            </w:r>
          </w:p>
        </w:tc>
      </w:tr>
      <w:tr w14:paraId="2625EA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5509">
            <w:pPr>
              <w:pStyle w:val="7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988DC">
            <w:pPr>
              <w:pStyle w:val="7"/>
              <w:jc w:val="both"/>
            </w:pPr>
            <w: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14:paraId="1E5377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1729">
            <w:pPr>
              <w:pStyle w:val="7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BE03">
            <w:pPr>
              <w:pStyle w:val="7"/>
              <w:jc w:val="both"/>
            </w:pPr>
            <w: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14:paraId="07C5FB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C164">
            <w:pPr>
              <w:pStyle w:val="7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5BA2">
            <w:pPr>
              <w:pStyle w:val="7"/>
              <w:jc w:val="both"/>
            </w:pPr>
            <w: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14:paraId="55F3614A">
            <w:pPr>
              <w:pStyle w:val="7"/>
              <w:jc w:val="both"/>
            </w:pPr>
            <w: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14:paraId="31C229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5A87">
            <w:pPr>
              <w:pStyle w:val="7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58CD">
            <w:pPr>
              <w:pStyle w:val="7"/>
              <w:jc w:val="both"/>
            </w:pPr>
            <w: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44AC119A">
      <w:pPr>
        <w:pStyle w:val="7"/>
        <w:ind w:firstLine="709"/>
        <w:jc w:val="both"/>
        <w:rPr>
          <w:lang w:val="ru-RU"/>
        </w:rPr>
      </w:pPr>
    </w:p>
    <w:p w14:paraId="32676807">
      <w:pPr>
        <w:pStyle w:val="7"/>
        <w:ind w:firstLine="709"/>
        <w:jc w:val="both"/>
        <w:rPr>
          <w:lang w:val="ru-RU"/>
        </w:rPr>
      </w:pPr>
    </w:p>
    <w:p w14:paraId="7C2CA395">
      <w:pPr>
        <w:tabs>
          <w:tab w:val="left" w:pos="0"/>
        </w:tabs>
        <w:jc w:val="both"/>
        <w:rPr>
          <w:b/>
        </w:rPr>
      </w:pPr>
    </w:p>
    <w:p w14:paraId="21AF9BFD">
      <w:pPr>
        <w:pStyle w:val="7"/>
        <w:ind w:firstLine="709"/>
        <w:jc w:val="both"/>
        <w:rPr>
          <w:lang w:val="ru-RU"/>
        </w:rPr>
      </w:pPr>
    </w:p>
    <w:p w14:paraId="6A19590C">
      <w:pPr>
        <w:pStyle w:val="7"/>
        <w:ind w:firstLine="709"/>
        <w:jc w:val="both"/>
        <w:rPr>
          <w:lang w:val="ru-RU"/>
        </w:rPr>
      </w:pPr>
    </w:p>
    <w:p w14:paraId="2358AEBC">
      <w:pPr>
        <w:pStyle w:val="7"/>
        <w:jc w:val="both"/>
      </w:pPr>
      <w:r>
        <w:t>оценочные и методические средства составлены:</w:t>
      </w:r>
    </w:p>
    <w:p w14:paraId="5A08EBA7">
      <w:pPr>
        <w:pStyle w:val="7"/>
        <w:jc w:val="both"/>
      </w:pPr>
      <w:r>
        <w:t>Чойбсонова Ч.В., ст.преподаватель кафедры правовых дисциплин</w:t>
      </w:r>
    </w:p>
    <w:p w14:paraId="53182BB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ndale Sans UI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roid Sans Fallb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BD6814"/>
    <w:multiLevelType w:val="multilevel"/>
    <w:tmpl w:val="56BD6814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790" w:hanging="360"/>
      </w:pPr>
    </w:lvl>
    <w:lvl w:ilvl="2" w:tentative="0">
      <w:start w:val="1"/>
      <w:numFmt w:val="lowerRoman"/>
      <w:lvlText w:val="%3."/>
      <w:lvlJc w:val="right"/>
      <w:pPr>
        <w:ind w:left="2510" w:hanging="180"/>
      </w:pPr>
    </w:lvl>
    <w:lvl w:ilvl="3" w:tentative="0">
      <w:start w:val="1"/>
      <w:numFmt w:val="decimal"/>
      <w:lvlText w:val="%4."/>
      <w:lvlJc w:val="left"/>
      <w:pPr>
        <w:ind w:left="3230" w:hanging="360"/>
      </w:pPr>
    </w:lvl>
    <w:lvl w:ilvl="4" w:tentative="0">
      <w:start w:val="1"/>
      <w:numFmt w:val="lowerLetter"/>
      <w:lvlText w:val="%5."/>
      <w:lvlJc w:val="left"/>
      <w:pPr>
        <w:ind w:left="3950" w:hanging="360"/>
      </w:pPr>
    </w:lvl>
    <w:lvl w:ilvl="5" w:tentative="0">
      <w:start w:val="1"/>
      <w:numFmt w:val="lowerRoman"/>
      <w:lvlText w:val="%6."/>
      <w:lvlJc w:val="right"/>
      <w:pPr>
        <w:ind w:left="4670" w:hanging="180"/>
      </w:pPr>
    </w:lvl>
    <w:lvl w:ilvl="6" w:tentative="0">
      <w:start w:val="1"/>
      <w:numFmt w:val="decimal"/>
      <w:lvlText w:val="%7."/>
      <w:lvlJc w:val="left"/>
      <w:pPr>
        <w:ind w:left="5390" w:hanging="360"/>
      </w:pPr>
    </w:lvl>
    <w:lvl w:ilvl="7" w:tentative="0">
      <w:start w:val="1"/>
      <w:numFmt w:val="lowerLetter"/>
      <w:lvlText w:val="%8."/>
      <w:lvlJc w:val="left"/>
      <w:pPr>
        <w:ind w:left="6110" w:hanging="360"/>
      </w:pPr>
    </w:lvl>
    <w:lvl w:ilvl="8" w:tentative="0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54"/>
    <w:rsid w:val="000C5659"/>
    <w:rsid w:val="000E396A"/>
    <w:rsid w:val="00256E71"/>
    <w:rsid w:val="002B3694"/>
    <w:rsid w:val="0048254C"/>
    <w:rsid w:val="00504912"/>
    <w:rsid w:val="007E56A7"/>
    <w:rsid w:val="009A21C8"/>
    <w:rsid w:val="009F4D2A"/>
    <w:rsid w:val="00C9646E"/>
    <w:rsid w:val="00D104D4"/>
    <w:rsid w:val="00E57F54"/>
    <w:rsid w:val="08D544C6"/>
    <w:rsid w:val="18060CAF"/>
    <w:rsid w:val="285C14C0"/>
    <w:rsid w:val="4209629A"/>
    <w:rsid w:val="5E8F5931"/>
    <w:rsid w:val="741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99"/>
    <w:rPr>
      <w:vertAlign w:val="superscript"/>
    </w:rPr>
  </w:style>
  <w:style w:type="paragraph" w:customStyle="1" w:styleId="5">
    <w:name w:val="Footnote"/>
    <w:basedOn w:val="1"/>
    <w:qFormat/>
    <w:uiPriority w:val="0"/>
    <w:pPr>
      <w:suppressAutoHyphens/>
      <w:autoSpaceDN w:val="0"/>
      <w:spacing w:after="0" w:line="240" w:lineRule="auto"/>
    </w:pPr>
    <w:rPr>
      <w:rFonts w:ascii="Calibri" w:hAnsi="Calibri" w:eastAsia="Times New Roman" w:cs="Times New Roman"/>
      <w:kern w:val="3"/>
      <w:sz w:val="20"/>
      <w:szCs w:val="20"/>
      <w:lang w:eastAsia="zh-CN"/>
    </w:rPr>
  </w:style>
  <w:style w:type="character" w:customStyle="1" w:styleId="6">
    <w:name w:val="Footnote Symbol"/>
    <w:qFormat/>
    <w:uiPriority w:val="0"/>
    <w:rPr>
      <w:rFonts w:hint="default" w:ascii="Times New Roman" w:hAnsi="Times New Roman" w:cs="Times New Roman"/>
      <w:position w:val="0"/>
      <w:vertAlign w:val="superscript"/>
    </w:rPr>
  </w:style>
  <w:style w:type="paragraph" w:customStyle="1" w:styleId="7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8">
    <w:name w:val="List Paragraph"/>
    <w:basedOn w:val="1"/>
    <w:qFormat/>
    <w:uiPriority w:val="34"/>
    <w:pPr>
      <w:suppressAutoHyphens/>
      <w:ind w:left="720"/>
      <w:contextualSpacing/>
    </w:pPr>
    <w:rPr>
      <w:rFonts w:ascii="Calibri" w:hAnsi="Calibri" w:eastAsia="Droid Sans Fallback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820</Words>
  <Characters>4677</Characters>
  <Lines>38</Lines>
  <Paragraphs>10</Paragraphs>
  <TotalTime>52</TotalTime>
  <ScaleCrop>false</ScaleCrop>
  <LinksUpToDate>false</LinksUpToDate>
  <CharactersWithSpaces>5487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2019-09-11T11:38:00Z</dcterms:created>
  <dc:creator>user</dc:creator>
  <cp:lastModifiedBy>123</cp:lastModifiedBy>
  <dcterms:modified xsi:type="dcterms:W3CDTF">2026-02-17T08:47:00Z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2E8906C36DA34CBF98D74D429072554A_12</vt:lpwstr>
  </property>
</Properties>
</file>