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B" w:rsidRPr="00015592" w:rsidRDefault="00F42C0B" w:rsidP="00F42C0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015592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6440E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1. Назначение фонда оценочных средств.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ЫХ И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СПОРТИВНЫХ МЕРОПРИЯТИЙ.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ar-SA"/>
        </w:rPr>
      </w:pP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2. Фонд оценочных средств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включает в себя контрольные материалы для проведения текущего контроля и промежуточного аттестации в форме тестовых заданий, контрольных и самостоятельных работ, вопросов и заданий к </w:t>
      </w:r>
      <w:r w:rsidR="00AA125A">
        <w:rPr>
          <w:rFonts w:ascii="Times New Roman" w:hAnsi="Times New Roman"/>
          <w:sz w:val="24"/>
          <w:szCs w:val="24"/>
          <w:lang w:eastAsia="ar-SA"/>
        </w:rPr>
        <w:t>зачету</w:t>
      </w:r>
      <w:r w:rsidR="00EB7622">
        <w:rPr>
          <w:rFonts w:ascii="Times New Roman" w:hAnsi="Times New Roman"/>
          <w:sz w:val="24"/>
          <w:szCs w:val="24"/>
          <w:lang w:eastAsia="ar-SA"/>
        </w:rPr>
        <w:t xml:space="preserve"> и экзамену</w:t>
      </w:r>
      <w:r w:rsidRPr="00015592"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Pr="006440E2" w:rsidRDefault="00F40011" w:rsidP="00F40011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Структура и содержание заданий</w:t>
      </w:r>
      <w:r>
        <w:rPr>
          <w:rFonts w:ascii="Times New Roman" w:hAnsi="Times New Roman"/>
          <w:sz w:val="24"/>
          <w:szCs w:val="24"/>
          <w:lang w:eastAsia="ar-SA"/>
        </w:rPr>
        <w:t xml:space="preserve"> разработаны в соответствии с рабочей программой факультатива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МЕРОПРИЯТИЙ»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.</w:t>
      </w:r>
    </w:p>
    <w:p w:rsidR="00F40011" w:rsidRDefault="00F40011" w:rsidP="00F40011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F40011" w:rsidRDefault="00F40011" w:rsidP="00F40011">
      <w:r>
        <w:rPr>
          <w:rFonts w:ascii="Times New Roman" w:hAnsi="Times New Roman"/>
          <w:b/>
          <w:sz w:val="24"/>
          <w:szCs w:val="24"/>
          <w:lang w:eastAsia="ar-SA"/>
        </w:rPr>
        <w:t>4. Перечень компетенций, формируемых дисциплиной:</w:t>
      </w:r>
      <w:r>
        <w:rPr>
          <w:rFonts w:ascii="Times New Roman" w:hAnsi="Times New Roman"/>
          <w:sz w:val="24"/>
          <w:szCs w:val="24"/>
          <w:lang w:eastAsia="ar-SA"/>
        </w:rPr>
        <w:t xml:space="preserve"> ПК-</w:t>
      </w:r>
      <w:r w:rsidR="00EB7622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ar-SA"/>
        </w:rPr>
        <w:t>5. Проверка и оценка результатов выполнения заданий: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0011">
      <w:pPr>
        <w:pageBreakBefore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Фонд оценочных средств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(модуля) Фонд оценочных средств</w:t>
      </w:r>
    </w:p>
    <w:p w:rsidR="00F40011" w:rsidRDefault="00F40011" w:rsidP="00F40011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факультатива</w:t>
      </w:r>
    </w:p>
    <w:p w:rsidR="00F40011" w:rsidRDefault="00F40011" w:rsidP="00F40011">
      <w:pPr>
        <w:suppressAutoHyphens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</w:t>
      </w:r>
      <w:r>
        <w:rPr>
          <w:rFonts w:ascii="Times New Roman" w:hAnsi="Times New Roman"/>
          <w:b/>
          <w:sz w:val="24"/>
          <w:szCs w:val="24"/>
          <w:lang w:eastAsia="ar-SA"/>
        </w:rPr>
        <w:t>»</w:t>
      </w: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2005"/>
      </w:tblGrid>
      <w:tr w:rsidR="00F40011" w:rsidTr="00F40011"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</w:pPr>
            <w:r w:rsidRPr="00F40011">
              <w:rPr>
                <w:rFonts w:ascii="Times New Roman" w:hAnsi="Times New Roman"/>
                <w:sz w:val="24"/>
                <w:szCs w:val="24"/>
              </w:rPr>
              <w:t>Планирование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11" w:rsidRDefault="00F40011" w:rsidP="00EB7622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</w:t>
            </w:r>
            <w:r w:rsidR="00EB762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 w:rsidP="00F40011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Тестирование, Контрольная работа.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  <w:rPr>
                <w:lang w:eastAsia="zh-CN"/>
              </w:rPr>
            </w:pPr>
            <w:r w:rsidRPr="00F40011">
              <w:rPr>
                <w:rFonts w:ascii="Times New Roman" w:hAnsi="Times New Roman"/>
                <w:sz w:val="24"/>
                <w:szCs w:val="24"/>
              </w:rPr>
              <w:t>Организация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11" w:rsidRDefault="00AA125A" w:rsidP="00AA12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физкультурных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Организация и судейство комплексных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Системы проведения соревнований по игровым видам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 w:rsidP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портивных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>оревнований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EB7622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экзамен</w:t>
            </w:r>
          </w:p>
        </w:tc>
      </w:tr>
    </w:tbl>
    <w:p w:rsidR="00F40011" w:rsidRPr="00015592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Pr="005D7B50" w:rsidRDefault="005D7B50" w:rsidP="0007214F">
      <w:pPr>
        <w:ind w:firstLine="709"/>
        <w:rPr>
          <w:rFonts w:ascii="Times New Roman" w:hAnsi="Times New Roman"/>
          <w:sz w:val="28"/>
          <w:szCs w:val="28"/>
        </w:rPr>
      </w:pPr>
      <w:r w:rsidRPr="005D7B5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Вопросы к зачету </w:t>
      </w:r>
    </w:p>
    <w:p w:rsidR="0007214F" w:rsidRDefault="0007214F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Сущность и характерные особенности спортивных соревнований 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России.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2. Принципы, функции и методы менеджмента спортивного мероприятий.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3. Общая классификация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4. Современные технологии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5. Основные критерии выбора качественного и количественного состава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персонала для реализации спортивного мероприятия.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6. Методы организации командной работы при организации и проведении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7. Типичные проблемы, возникающие в процессе организации и проведения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соревнований 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8.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9. Единых календарей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10. Системы определения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11. Методика составления положения по виду спорта: основные разделы 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содержание.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12. Алгоритм ( порядок ) проведения спортивного соревнования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13. Нормативно-правовая база организации и проведения спортивно-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зрелищных мероприятий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14. Оргкомитет соревнования: его функции, цели, задачи, способы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формирования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15. Системы проведения спортивных соревнований в спортивных играх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16. Система проведения соревнований в циклических видах спорта.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17. Системы определения победителей в комбинированной спартакиаде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18. Методика составления положения по спартакиаде состоящей из 6 виду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спорта: основные разделы и содержание,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19. Алгоритм проведения спортивного мероприятия « Лыжня России»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20. Нормативно-правовая база организации и проведения спортивного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21. Структура и содержание календаря спортивно массовых мероприятий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22. Паблик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рилэйшнз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23. Реализации взаимоотношений со СМИ.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24. Рекламная деятельность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25. Типология болельщиков и их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безопастность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период соревнований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26. Феномен присутствия болельщиков на спортивных мероприятиях.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27</w:t>
      </w:r>
      <w:r w:rsidRPr="005D7B50">
        <w:rPr>
          <w:rFonts w:ascii="Times New Roman" w:hAnsi="Times New Roman"/>
          <w:sz w:val="28"/>
          <w:szCs w:val="28"/>
          <w:lang w:eastAsia="ru-RU"/>
        </w:rPr>
        <w:t>. виды соревнований и раскрыть содержание «спортивное соревнование».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28</w:t>
      </w:r>
      <w:r w:rsidRPr="005D7B50">
        <w:rPr>
          <w:rFonts w:ascii="Times New Roman" w:hAnsi="Times New Roman"/>
          <w:sz w:val="28"/>
          <w:szCs w:val="28"/>
          <w:lang w:eastAsia="ru-RU"/>
        </w:rPr>
        <w:t>. Разработайте методику составления календарного плана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29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Предложте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различные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30</w:t>
      </w:r>
      <w:r w:rsidRPr="005D7B50">
        <w:rPr>
          <w:rFonts w:ascii="Times New Roman" w:hAnsi="Times New Roman"/>
          <w:sz w:val="28"/>
          <w:szCs w:val="28"/>
          <w:lang w:eastAsia="ru-RU"/>
        </w:rPr>
        <w:t>. Ваш комментарий и анализ определения победителей в видах спорта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(легкая атлетика, плавание): по очкам и местам.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31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Ваш комментарий и анализ определения победителей в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единоборствах,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гимнастике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>, прыжки в воду.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32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 Ваш комментарий и анализ определения победителей в спортивных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играх: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круговая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система, система с выбыванием, смешанная система. Преимущества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33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младшего возраста.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34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среднего возраста.</w:t>
      </w:r>
    </w:p>
    <w:p w:rsidR="005D7B50" w:rsidRPr="005D7B50" w:rsidRDefault="0007214F" w:rsidP="000721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 по ГТО (V и VI ступени).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мероприятий посвященных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юбилейной дате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спортивного соревнования для школьников 6-8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классов «Быстрее. Выше. Сильнее».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39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Ваш вариант организации спортивного соревнования в детском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оздоровительном лагере.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40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составления оперативного плана спортивного соревнования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мероприятия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Приведите содержание нормативно-правовых документов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регламентирующих проведение спортивных соревнований.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42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рекламную акцию по продвижению конкретного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43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5D7B50" w:rsidRPr="005D7B50">
        <w:rPr>
          <w:rFonts w:ascii="Times New Roman" w:hAnsi="Times New Roman"/>
          <w:sz w:val="28"/>
          <w:szCs w:val="28"/>
          <w:lang w:eastAsia="ru-RU"/>
        </w:rPr>
        <w:t>Привидите</w:t>
      </w:r>
      <w:proofErr w:type="spellEnd"/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 пример основных источников финансирования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Перечислить основные пункты сметы по проведению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ваш вариант материально-технического обеспечения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 на конкретном примере.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план процедуры открытия и награждения в спортивном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соревновании.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47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текст сценария для судьи-информатора при проведении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мероприятий (парад открытия, представление участников,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судейской коллегии, спонсоров и т.д.).</w:t>
      </w: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42C0B" w:rsidRPr="00043EBE" w:rsidRDefault="00F42C0B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 xml:space="preserve">Вопросы для </w:t>
      </w:r>
      <w:r w:rsidR="005D7B50">
        <w:rPr>
          <w:rFonts w:ascii="Times New Roman" w:hAnsi="Times New Roman"/>
          <w:sz w:val="24"/>
          <w:szCs w:val="24"/>
          <w:lang w:eastAsia="ar-SA"/>
        </w:rPr>
        <w:t>экзамена</w:t>
      </w:r>
      <w:r w:rsidR="00F40011">
        <w:rPr>
          <w:rFonts w:ascii="Times New Roman" w:hAnsi="Times New Roman"/>
          <w:sz w:val="24"/>
          <w:szCs w:val="24"/>
          <w:lang w:eastAsia="ar-SA"/>
        </w:rPr>
        <w:t>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Понятие физкультурно-массовое мероприятие.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Структура и содержание подготовки документации физкультурно-массового мероприятия.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Задачи, значение и содержание ГТО.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Соревнования как средство физического воспитания.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Образовательное, воспитательное и оздоровительное значение мероприятий физкультурно-массового характера.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Мышечная ткань, принципы тренировки.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Энергетические системы организма.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ЧСС при занятиях различными видами оздоровительной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10.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Особенности урока с элементами оздоровительных видов гимнастики с учащимися младшего школьного возраста.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Самостоятельные формы занятий. Организация, содержание и методы проведения.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Места занятий и их оборудование.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Травматизм. Профилактика травматизма.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Первая медицинская помощь.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Контроль на занятиях оздоровительными видами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Оценка физической подготовленности занимающихся.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Тесты на переносимость физической нагрузки.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 тела. Контроль за весом.</w:t>
      </w:r>
    </w:p>
    <w:p w:rsidR="00F42C0B" w:rsidRPr="00043EBE" w:rsidRDefault="00EB7622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Занятия </w:t>
      </w:r>
      <w:r w:rsidR="00F42C0B" w:rsidRPr="00043EBE">
        <w:rPr>
          <w:rFonts w:ascii="Times New Roman" w:hAnsi="Times New Roman"/>
          <w:sz w:val="24"/>
          <w:szCs w:val="24"/>
          <w:lang w:eastAsia="ar-SA"/>
        </w:rPr>
        <w:t>оздоровительными видами гимнастики для специализированных групп.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Составление программы занятий для сдачи норм ГТО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ВСК ГТО: история и современность.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2. Организация физкультурно-спортивного движения в образовательных организациях.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3. Особенности организации занятий по физической культуре внеурочной направленности.</w:t>
      </w:r>
    </w:p>
    <w:p w:rsidR="00F42C0B" w:rsidRPr="00043EBE" w:rsidRDefault="00EB7622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4. Организация </w:t>
      </w:r>
      <w:r w:rsidR="00F42C0B" w:rsidRPr="00043EBE">
        <w:rPr>
          <w:rFonts w:ascii="Times New Roman" w:hAnsi="Times New Roman"/>
          <w:sz w:val="24"/>
          <w:szCs w:val="24"/>
          <w:lang w:eastAsia="ar-SA"/>
        </w:rPr>
        <w:t>физкультурно-спортивных праздников в ОО.</w:t>
      </w: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5. Организация и проведение проектной деятельности обучающихся по физической</w:t>
      </w:r>
      <w:r w:rsidR="00B71213">
        <w:rPr>
          <w:rFonts w:ascii="Times New Roman" w:hAnsi="Times New Roman"/>
          <w:sz w:val="24"/>
          <w:szCs w:val="24"/>
          <w:lang w:eastAsia="ar-SA"/>
        </w:rPr>
        <w:t xml:space="preserve"> культуре и </w:t>
      </w:r>
      <w:proofErr w:type="spellStart"/>
      <w:r w:rsidR="00B71213">
        <w:rPr>
          <w:rFonts w:ascii="Times New Roman" w:hAnsi="Times New Roman"/>
          <w:sz w:val="24"/>
          <w:szCs w:val="24"/>
          <w:lang w:eastAsia="ar-SA"/>
        </w:rPr>
        <w:t>здоровьесбережению</w:t>
      </w:r>
      <w:proofErr w:type="spellEnd"/>
      <w:r w:rsidR="00B71213">
        <w:rPr>
          <w:rFonts w:ascii="Times New Roman" w:hAnsi="Times New Roman"/>
          <w:sz w:val="24"/>
          <w:szCs w:val="24"/>
          <w:lang w:eastAsia="ar-SA"/>
        </w:rPr>
        <w:t>.</w:t>
      </w: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Примеры тестов.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Основным документом, регламентирующим проведение соревнований, является: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положение;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правила соревнований;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На основе какого документа образовательная организация организуют и проводят соревнования в календарном году: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календарный план;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олимпийский цикл;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Какой документ определяет требования к выполнению спортивных разрядов: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ЕВСК;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МОК;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Если уровень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развития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обучающегося недостаточен для освоения двигательного действия, необходимо использовать … упражнения.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а. … подводящие …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б. … подготовительные …</w:t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Почему в уроках физической культуры выделяют подготовительную (вводную), основную и заключительную части: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так учителю удобнее распределять различные по характеру упражнения;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это обусловлено необходимостью управлять динамикой работоспособности занимающегося;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по какому принципу производится подбор упражнений в основной части занятия шейпинга?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анатомическому;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биомеханическому;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аэробному;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анаэробному.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</w:t>
      </w:r>
      <w:r>
        <w:rPr>
          <w:rFonts w:ascii="Times New Roman" w:hAnsi="Times New Roman"/>
          <w:sz w:val="24"/>
          <w:szCs w:val="24"/>
          <w:lang w:eastAsia="ar-SA"/>
        </w:rPr>
        <w:tab/>
        <w:t>термин, обобщающий использование различных спортивных снарядов, приспособлений, устройств, механических и электронных средств, использование которых предусмотрено правилами соревнований по отдельным видам спорта: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спортивный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средство развития;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</w:t>
      </w:r>
      <w:r>
        <w:rPr>
          <w:rFonts w:ascii="Times New Roman" w:hAnsi="Times New Roman"/>
          <w:sz w:val="24"/>
          <w:szCs w:val="24"/>
          <w:lang w:eastAsia="ar-SA"/>
        </w:rPr>
        <w:tab/>
        <w:t>особый предмет, используемый для какого-либо вида спорт и имеющий строго определённые характеристики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снаряд;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</w:t>
      </w:r>
      <w:r>
        <w:rPr>
          <w:rFonts w:ascii="Times New Roman" w:hAnsi="Times New Roman"/>
          <w:sz w:val="24"/>
          <w:szCs w:val="24"/>
          <w:lang w:eastAsia="ar-SA"/>
        </w:rPr>
        <w:tab/>
        <w:t>массовые спортивные соревнования в СССР и других социалистических странах?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Спартакиада;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Универсиада;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каком году впервые прошли первые Олимпийские игры современности?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1896;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1900;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B71213" w:rsidRDefault="00B71213" w:rsidP="00B7121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736"/>
        <w:gridCol w:w="1648"/>
        <w:gridCol w:w="1637"/>
      </w:tblGrid>
      <w:tr w:rsidR="00B71213" w:rsidTr="00B7121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AA125A" w:rsidTr="009C1CC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EB7622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EB7622" w:rsidRDefault="00EB7622" w:rsidP="00EB762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695"/>
        <w:gridCol w:w="41"/>
        <w:gridCol w:w="1648"/>
        <w:gridCol w:w="6"/>
        <w:gridCol w:w="1631"/>
      </w:tblGrid>
      <w:tr w:rsidR="00EB7622" w:rsidTr="0057661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EB7622" w:rsidTr="00EB762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</w:tr>
      <w:tr w:rsidR="00EB7622" w:rsidTr="00EB762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</w:tr>
      <w:tr w:rsidR="00EB7622" w:rsidTr="005766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EB7622" w:rsidTr="005766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F42C0B" w:rsidRPr="00F42C0B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Павлов Валерий Юрьевич, доцент кафедры спортивных дисциплин</w:t>
      </w:r>
    </w:p>
    <w:sectPr w:rsidR="00F42C0B" w:rsidRPr="00F4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  <w:i w:val="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D"/>
    <w:rsid w:val="0007214F"/>
    <w:rsid w:val="005D7B50"/>
    <w:rsid w:val="006C70C6"/>
    <w:rsid w:val="007A085D"/>
    <w:rsid w:val="00AA125A"/>
    <w:rsid w:val="00B71213"/>
    <w:rsid w:val="00BC6027"/>
    <w:rsid w:val="00EB7622"/>
    <w:rsid w:val="00F40011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8897-B141-4120-808E-0735EE9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0011"/>
    <w:pPr>
      <w:suppressAutoHyphens/>
      <w:spacing w:line="252" w:lineRule="auto"/>
      <w:ind w:left="720"/>
      <w:contextualSpacing/>
    </w:pPr>
    <w:rPr>
      <w:lang w:eastAsia="zh-CN"/>
    </w:rPr>
  </w:style>
  <w:style w:type="paragraph" w:customStyle="1" w:styleId="2">
    <w:name w:val="Абзац списка2"/>
    <w:basedOn w:val="a"/>
    <w:rsid w:val="005D7B50"/>
    <w:pPr>
      <w:suppressAutoHyphens/>
      <w:spacing w:line="254" w:lineRule="auto"/>
      <w:ind w:left="720"/>
      <w:contextualSpacing/>
    </w:pPr>
    <w:rPr>
      <w:lang w:eastAsia="zh-CN"/>
    </w:rPr>
  </w:style>
  <w:style w:type="character" w:customStyle="1" w:styleId="markedcontent">
    <w:name w:val="markedcontent"/>
    <w:basedOn w:val="a0"/>
    <w:rsid w:val="005D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2025-06-11T03:56:00Z</dcterms:created>
  <dcterms:modified xsi:type="dcterms:W3CDTF">2025-06-11T03:56:00Z</dcterms:modified>
</cp:coreProperties>
</file>