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737D2C" w:rsidRPr="005A63D6" w:rsidRDefault="00737D2C" w:rsidP="008E3D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 w:rsidRPr="002C4134">
        <w:rPr>
          <w:rFonts w:ascii="Times New Roman" w:hAnsi="Times New Roman"/>
          <w:b/>
          <w:caps/>
          <w:sz w:val="24"/>
          <w:szCs w:val="24"/>
        </w:rPr>
        <w:t>Деловые коммуникации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 w:rsidR="003C0321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 w:rsidR="003C0321"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 w:rsidR="003C0321"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</w:t>
      </w:r>
      <w:r w:rsidR="00A6467A">
        <w:rPr>
          <w:rFonts w:ascii="Times New Roman" w:hAnsi="Times New Roman"/>
          <w:sz w:val="24"/>
          <w:szCs w:val="24"/>
        </w:rPr>
        <w:t xml:space="preserve">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2C4134">
        <w:rPr>
          <w:rFonts w:ascii="Times New Roman" w:hAnsi="Times New Roman"/>
          <w:b/>
          <w:caps/>
          <w:sz w:val="24"/>
          <w:szCs w:val="24"/>
        </w:rPr>
        <w:t>Деловые коммуникации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9C591D" w:rsidRDefault="009C591D" w:rsidP="00F71B4F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способен осуществлять поиск, критический анализ и синтез информации, применять системный подход для решения поставленных задач </w:t>
      </w:r>
      <w:r w:rsidRPr="009C591D">
        <w:rPr>
          <w:rFonts w:ascii="Times New Roman" w:hAnsi="Times New Roman"/>
          <w:b/>
          <w:color w:val="000000"/>
          <w:sz w:val="24"/>
          <w:szCs w:val="24"/>
        </w:rPr>
        <w:t>(УК-1);</w:t>
      </w:r>
    </w:p>
    <w:p w:rsidR="00737D2C" w:rsidRPr="00F71B4F" w:rsidRDefault="009C591D" w:rsidP="00F71B4F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способен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решать профессиональные задачи на основе знаний (на промежуточном уровне) экономической, организационной и управленческой теории </w:t>
      </w:r>
      <w:r>
        <w:rPr>
          <w:rFonts w:ascii="Times New Roman" w:hAnsi="Times New Roman"/>
          <w:b/>
          <w:color w:val="000000"/>
          <w:sz w:val="24"/>
          <w:szCs w:val="24"/>
        </w:rPr>
        <w:t>(ОПК-1</w:t>
      </w:r>
      <w:r w:rsidR="00737D2C"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="00737D2C"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737D2C" w:rsidRPr="005A63D6" w:rsidRDefault="00737D2C" w:rsidP="008E3D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8E3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737D2C" w:rsidRDefault="00737D2C" w:rsidP="008E3D9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737D2C" w:rsidRPr="005A63D6" w:rsidRDefault="00737D2C" w:rsidP="008E2BBB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Pr="002C4134">
        <w:rPr>
          <w:rFonts w:ascii="Times New Roman" w:hAnsi="Times New Roman"/>
          <w:b/>
          <w:caps/>
          <w:sz w:val="24"/>
          <w:szCs w:val="24"/>
        </w:rPr>
        <w:t>Деловые коммуникации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306"/>
        <w:gridCol w:w="2741"/>
        <w:gridCol w:w="3170"/>
      </w:tblGrid>
      <w:tr w:rsidR="00737D2C" w:rsidRPr="005A63D6" w:rsidTr="003C0321">
        <w:tc>
          <w:tcPr>
            <w:tcW w:w="332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71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93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604" w:type="pct"/>
            <w:vAlign w:val="center"/>
          </w:tcPr>
          <w:p w:rsidR="00737D2C" w:rsidRPr="005A63D6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37D2C" w:rsidRPr="005A63D6" w:rsidTr="003C0321">
        <w:tc>
          <w:tcPr>
            <w:tcW w:w="332" w:type="pct"/>
            <w:vAlign w:val="center"/>
          </w:tcPr>
          <w:p w:rsidR="00737D2C" w:rsidRPr="005A63D6" w:rsidRDefault="00737D2C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1" w:type="pct"/>
            <w:vAlign w:val="center"/>
          </w:tcPr>
          <w:p w:rsidR="00737D2C" w:rsidRPr="002C4134" w:rsidRDefault="00737D2C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Общая характеристика деловых коммуникаций.</w:t>
            </w:r>
          </w:p>
        </w:tc>
        <w:tc>
          <w:tcPr>
            <w:tcW w:w="1393" w:type="pct"/>
            <w:vAlign w:val="center"/>
          </w:tcPr>
          <w:p w:rsidR="00737D2C" w:rsidRPr="0023070C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ОПК-1, УК-1</w:t>
            </w:r>
          </w:p>
        </w:tc>
        <w:tc>
          <w:tcPr>
            <w:tcW w:w="1604" w:type="pct"/>
            <w:vAlign w:val="center"/>
          </w:tcPr>
          <w:p w:rsidR="00737D2C" w:rsidRPr="005A63D6" w:rsidRDefault="00737D2C" w:rsidP="003C03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 w:rsidR="003C0321">
              <w:rPr>
                <w:rFonts w:ascii="Times New Roman" w:hAnsi="Times New Roman"/>
                <w:sz w:val="24"/>
                <w:szCs w:val="24"/>
              </w:rPr>
              <w:t>, Задания для самостоятельной работы, тестирование, зачёт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3C0321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Условия эффективного делового общения.</w:t>
            </w:r>
          </w:p>
        </w:tc>
        <w:tc>
          <w:tcPr>
            <w:tcW w:w="1393" w:type="pct"/>
            <w:vAlign w:val="center"/>
          </w:tcPr>
          <w:p w:rsidR="003C0321" w:rsidRPr="0023070C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3C0321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Основы убеждающего воздействия на делового партнера.</w:t>
            </w:r>
          </w:p>
        </w:tc>
        <w:tc>
          <w:tcPr>
            <w:tcW w:w="1393" w:type="pct"/>
            <w:vAlign w:val="center"/>
          </w:tcPr>
          <w:p w:rsidR="003C0321" w:rsidRPr="0023070C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3C0321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Невербальные средства делового общения.</w:t>
            </w:r>
          </w:p>
        </w:tc>
        <w:tc>
          <w:tcPr>
            <w:tcW w:w="1393" w:type="pct"/>
            <w:vAlign w:val="center"/>
          </w:tcPr>
          <w:p w:rsidR="003C0321" w:rsidRPr="0023070C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зачёт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3C0321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Особенности устной публичной речи.</w:t>
            </w:r>
          </w:p>
        </w:tc>
        <w:tc>
          <w:tcPr>
            <w:tcW w:w="1393" w:type="pct"/>
            <w:vAlign w:val="center"/>
          </w:tcPr>
          <w:p w:rsidR="003C0321" w:rsidRPr="0023070C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тестирование, 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9C591D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Устное деловое общение: деловая беседа при приеме на работу; деловые переговоры; деловой телефонный разговор.</w:t>
            </w:r>
          </w:p>
        </w:tc>
        <w:tc>
          <w:tcPr>
            <w:tcW w:w="1393" w:type="pct"/>
          </w:tcPr>
          <w:p w:rsidR="003C0321" w:rsidRPr="00F71B4F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УК-1, ОПК-1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самостоятельной работы, тестирование, экзамен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3C0321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Письменное деловое общение.</w:t>
            </w:r>
          </w:p>
        </w:tc>
        <w:tc>
          <w:tcPr>
            <w:tcW w:w="1393" w:type="pct"/>
          </w:tcPr>
          <w:p w:rsidR="003C0321" w:rsidRPr="00F71B4F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</w:t>
            </w:r>
            <w:r w:rsidR="009C591D">
              <w:rPr>
                <w:rFonts w:ascii="Times New Roman" w:hAnsi="Times New Roman"/>
                <w:sz w:val="24"/>
                <w:szCs w:val="24"/>
              </w:rPr>
              <w:t>работы, тестирование, зачет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3C0321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Этические основы делового общения.</w:t>
            </w:r>
          </w:p>
        </w:tc>
        <w:tc>
          <w:tcPr>
            <w:tcW w:w="1393" w:type="pct"/>
          </w:tcPr>
          <w:p w:rsidR="003C0321" w:rsidRPr="00F71B4F" w:rsidRDefault="009C591D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самостоятельн</w:t>
            </w:r>
            <w:r w:rsidR="009C591D">
              <w:rPr>
                <w:rFonts w:ascii="Times New Roman" w:hAnsi="Times New Roman"/>
                <w:sz w:val="24"/>
                <w:szCs w:val="24"/>
              </w:rPr>
              <w:t>ой работы, тестирование, зачет</w:t>
            </w:r>
          </w:p>
        </w:tc>
      </w:tr>
      <w:tr w:rsidR="003C0321" w:rsidRPr="005A63D6" w:rsidTr="003C0321">
        <w:tc>
          <w:tcPr>
            <w:tcW w:w="332" w:type="pct"/>
            <w:vAlign w:val="center"/>
          </w:tcPr>
          <w:p w:rsidR="003C0321" w:rsidRPr="005A63D6" w:rsidRDefault="003C0321" w:rsidP="003C03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1" w:type="pct"/>
            <w:vAlign w:val="center"/>
          </w:tcPr>
          <w:p w:rsidR="003C0321" w:rsidRPr="002C4134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134">
              <w:rPr>
                <w:rFonts w:ascii="Times New Roman" w:hAnsi="Times New Roman"/>
                <w:sz w:val="24"/>
                <w:szCs w:val="24"/>
              </w:rPr>
              <w:t>Барьеры в общении и способы их преодоления.</w:t>
            </w:r>
          </w:p>
        </w:tc>
        <w:tc>
          <w:tcPr>
            <w:tcW w:w="1393" w:type="pct"/>
          </w:tcPr>
          <w:p w:rsidR="003C0321" w:rsidRPr="00F71B4F" w:rsidRDefault="003C0321" w:rsidP="003C03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45E">
              <w:rPr>
                <w:rFonts w:ascii="Times New Roman" w:hAnsi="Times New Roman"/>
                <w:sz w:val="24"/>
                <w:szCs w:val="24"/>
              </w:rPr>
              <w:t>ОПК-4</w:t>
            </w:r>
            <w:r w:rsidR="009C591D">
              <w:rPr>
                <w:rFonts w:ascii="Times New Roman" w:hAnsi="Times New Roman"/>
                <w:sz w:val="24"/>
                <w:szCs w:val="24"/>
              </w:rPr>
              <w:t>, УК-1</w:t>
            </w:r>
          </w:p>
        </w:tc>
        <w:tc>
          <w:tcPr>
            <w:tcW w:w="1604" w:type="pct"/>
          </w:tcPr>
          <w:p w:rsidR="003C0321" w:rsidRDefault="003C0321" w:rsidP="003C0321">
            <w:pPr>
              <w:spacing w:after="0"/>
              <w:jc w:val="both"/>
            </w:pPr>
            <w:r w:rsidRPr="00683F78"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тестирование, </w:t>
            </w:r>
            <w:r w:rsidR="009C591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737D2C" w:rsidRDefault="00737D2C" w:rsidP="008E3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D2C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 w:rsidR="009C591D"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Общение, его функции и основные виды.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делового общения по содержательной направленности.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Речевой этикет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Эффективные приемы убеждения: рациональные и психологические аргументы, уловки.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737D2C" w:rsidRPr="00F8007E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737D2C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737D2C" w:rsidRPr="00E71D78" w:rsidRDefault="00737D2C" w:rsidP="002C4134">
      <w:pPr>
        <w:numPr>
          <w:ilvl w:val="0"/>
          <w:numId w:val="37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737D2C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E529FB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737D2C" w:rsidRPr="00E529FB" w:rsidRDefault="00737D2C" w:rsidP="00D31037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737D2C" w:rsidRPr="00E529FB" w:rsidRDefault="00737D2C" w:rsidP="00D31037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37D2C" w:rsidRPr="00E529FB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737D2C" w:rsidRPr="005A63D6" w:rsidRDefault="00737D2C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737D2C" w:rsidRPr="005A63D6" w:rsidRDefault="00737D2C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737D2C" w:rsidRPr="005A63D6" w:rsidRDefault="00737D2C" w:rsidP="00D31037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изложении учебного материала студент допускает грубые ошибки, не владеет научной терминологией;</w:t>
      </w:r>
    </w:p>
    <w:p w:rsidR="00737D2C" w:rsidRPr="005A63D6" w:rsidRDefault="00737D2C" w:rsidP="00D31037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ответе на вопросы билета студент осуществляет неосмысленный пересказ учебного материала;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737D2C" w:rsidRPr="005A63D6" w:rsidRDefault="00737D2C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ответы на вопросы билета не раскрывают их сути;</w:t>
      </w:r>
    </w:p>
    <w:p w:rsidR="00737D2C" w:rsidRPr="005A63D6" w:rsidRDefault="00737D2C" w:rsidP="00D31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737D2C" w:rsidRPr="005A63D6" w:rsidRDefault="00737D2C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737D2C" w:rsidRPr="005A63D6" w:rsidRDefault="00737D2C" w:rsidP="00D31037">
      <w:pPr>
        <w:pStyle w:val="31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владеет источниками литературы в рамках программы.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Этапы переговорного процесса.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Стратегии и тактики ведения переговоров, нравственный аспект их выбора.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роли в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Коммуникативная личность в коммуникативной ситуации.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Психологический детектор лжи.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Механизмы речи.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Коммуникативный процесс и его структура.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737D2C" w:rsidRPr="00F8007E" w:rsidRDefault="00737D2C" w:rsidP="002C4134">
      <w:pPr>
        <w:numPr>
          <w:ilvl w:val="0"/>
          <w:numId w:val="26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737D2C" w:rsidRPr="005A63D6" w:rsidRDefault="00737D2C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37D2C" w:rsidRPr="005A63D6" w:rsidRDefault="00737D2C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D2C" w:rsidRPr="00A775BE" w:rsidRDefault="00737D2C" w:rsidP="00F71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 w:rsidR="003C0321"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737D2C" w:rsidRPr="00F71B4F" w:rsidTr="00F71B4F">
        <w:trPr>
          <w:trHeight w:val="157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92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396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220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момент изменения, критический период повышенной уязвимости и возросших потенций и вследствие </w:t>
            </w:r>
            <w:r w:rsidRPr="00F71B4F">
              <w:rPr>
                <w:rFonts w:ascii="Times New Roman" w:hAnsi="Times New Roman"/>
                <w:sz w:val="20"/>
                <w:szCs w:val="20"/>
              </w:rPr>
              <w:lastRenderedPageBreak/>
              <w:t>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rPr>
          <w:trHeight w:val="230"/>
        </w:trPr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37D2C" w:rsidRPr="00F71B4F" w:rsidTr="00F71B4F">
        <w:tc>
          <w:tcPr>
            <w:tcW w:w="42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737D2C" w:rsidRPr="00F71B4F" w:rsidRDefault="00737D2C" w:rsidP="00F71B4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7D2C" w:rsidRPr="00A775BE" w:rsidRDefault="00737D2C" w:rsidP="00F71B4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737D2C" w:rsidRDefault="00737D2C" w:rsidP="00F71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D2C" w:rsidRPr="00A775BE" w:rsidRDefault="00737D2C" w:rsidP="00F71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737D2C" w:rsidRPr="00A775BE" w:rsidTr="0026158C">
        <w:trPr>
          <w:jc w:val="center"/>
        </w:trPr>
        <w:tc>
          <w:tcPr>
            <w:tcW w:w="5760" w:type="dxa"/>
            <w:gridSpan w:val="2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737D2C" w:rsidRPr="00A775BE" w:rsidTr="0026158C">
        <w:trPr>
          <w:jc w:val="center"/>
        </w:trPr>
        <w:tc>
          <w:tcPr>
            <w:tcW w:w="2520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37D2C" w:rsidRPr="00A775BE" w:rsidTr="0026158C">
        <w:trPr>
          <w:jc w:val="center"/>
        </w:trPr>
        <w:tc>
          <w:tcPr>
            <w:tcW w:w="2520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737D2C" w:rsidRPr="00A775BE" w:rsidRDefault="00737D2C" w:rsidP="002615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737D2C" w:rsidRPr="00A775BE" w:rsidRDefault="00737D2C" w:rsidP="00F71B4F">
      <w:pPr>
        <w:spacing w:after="0"/>
        <w:rPr>
          <w:rFonts w:ascii="Times New Roman" w:hAnsi="Times New Roman"/>
          <w:sz w:val="24"/>
          <w:szCs w:val="24"/>
        </w:rPr>
      </w:pPr>
    </w:p>
    <w:p w:rsidR="00737D2C" w:rsidRPr="00A775BE" w:rsidRDefault="00737D2C" w:rsidP="00F71B4F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Конфликтные ситуации в деловом общении.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>Этнокультурные особенности участников делового общения.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.Этика взаимоотношений руководителя и подчиненного.</w:t>
      </w:r>
    </w:p>
    <w:p w:rsidR="00737D2C" w:rsidRPr="00F71B4F" w:rsidRDefault="00737D2C" w:rsidP="00F71B4F">
      <w:pPr>
        <w:numPr>
          <w:ilvl w:val="0"/>
          <w:numId w:val="38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737D2C" w:rsidRDefault="00737D2C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737D2C" w:rsidRDefault="00737D2C" w:rsidP="00F71B4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37D2C" w:rsidRPr="00A775BE" w:rsidRDefault="00737D2C" w:rsidP="00F71B4F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737D2C" w:rsidRPr="00A775BE" w:rsidRDefault="00737D2C" w:rsidP="00F71B4F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37D2C" w:rsidRPr="00A775BE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37D2C" w:rsidRDefault="00737D2C" w:rsidP="00F71B4F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37D2C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737D2C" w:rsidRPr="00E71D78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37D2C" w:rsidRPr="00E71D78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737D2C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37D2C" w:rsidRPr="00393354" w:rsidRDefault="00737D2C" w:rsidP="00E71D7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189"/>
        <w:gridCol w:w="1818"/>
        <w:gridCol w:w="1955"/>
        <w:gridCol w:w="2059"/>
        <w:gridCol w:w="1848"/>
      </w:tblGrid>
      <w:tr w:rsidR="00737D2C" w:rsidRPr="00FE7E83" w:rsidTr="007A7D21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737D2C" w:rsidRPr="00256F67" w:rsidRDefault="00737D2C" w:rsidP="007E5625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737D2C" w:rsidRPr="00256F67" w:rsidRDefault="00737D2C" w:rsidP="007E562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737D2C" w:rsidRPr="00FE7E83" w:rsidTr="007A7D21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737D2C" w:rsidRPr="00256F67" w:rsidRDefault="00737D2C" w:rsidP="007E5625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737D2C" w:rsidRPr="00256F67" w:rsidRDefault="00737D2C" w:rsidP="007E562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Pr="00256F67" w:rsidRDefault="00737D2C" w:rsidP="007E562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737D2C" w:rsidRPr="00256F67" w:rsidRDefault="00737D2C" w:rsidP="007E562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737D2C" w:rsidRPr="00256F67" w:rsidRDefault="00737D2C" w:rsidP="007E5625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737D2C" w:rsidRPr="00FE7E83" w:rsidTr="007A7D21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737D2C" w:rsidRDefault="00737D2C" w:rsidP="007E562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737D2C" w:rsidRPr="009C591D" w:rsidRDefault="009C591D" w:rsidP="009C59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737D2C" w:rsidRPr="00256F67" w:rsidRDefault="00737D2C" w:rsidP="00B5323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="009C591D"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 w:rsidR="009C59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="009C591D"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Pr="00256F67" w:rsidRDefault="00737D2C" w:rsidP="00B5323F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91D"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 w:rsidR="009C591D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 системного подходы, 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737D2C" w:rsidRPr="00256F67" w:rsidRDefault="00737D2C" w:rsidP="00B5323F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="009C591D"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 w:rsidR="009C59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="007A7D21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737D2C" w:rsidRDefault="00737D2C" w:rsidP="007E5625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737D2C" w:rsidRPr="00256F67" w:rsidRDefault="007A7D21" w:rsidP="00B5323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737D2C" w:rsidRPr="00FE7E83" w:rsidTr="007A7D21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37D2C" w:rsidRPr="007A7D21" w:rsidRDefault="009C591D" w:rsidP="009C591D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7A7D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737D2C" w:rsidRPr="00A76A92" w:rsidRDefault="007A7D21" w:rsidP="00B5323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осуществлять поиск,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737D2C" w:rsidRPr="00A76A92" w:rsidRDefault="007A7D21" w:rsidP="00B5323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ческий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lastRenderedPageBreak/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</w:p>
          <w:p w:rsidR="00737D2C" w:rsidRPr="00A76A92" w:rsidRDefault="007A7D21" w:rsidP="00B5323F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737D2C" w:rsidRPr="00A76A92" w:rsidRDefault="007A7D21" w:rsidP="00B5323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осуществлять поиск,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737D2C" w:rsidRPr="00FE7E83" w:rsidTr="007A7D21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37D2C" w:rsidRPr="007A7D21" w:rsidRDefault="009C591D" w:rsidP="009C59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737D2C" w:rsidRPr="00A76A92" w:rsidRDefault="007A7D21" w:rsidP="00B532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737D2C" w:rsidRPr="00A76A92" w:rsidRDefault="00737D2C" w:rsidP="00B5323F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 w:rsidR="007A7D21"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 w:rsid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737D2C" w:rsidRPr="00A76A92" w:rsidRDefault="00737D2C" w:rsidP="00B5323F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 w:rsidR="007A7D21"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="007A7D21"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 w:rsidR="007A7D21"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 w:rsid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737D2C" w:rsidRDefault="00737D2C" w:rsidP="00B5323F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737D2C" w:rsidRPr="00FE7E83" w:rsidRDefault="007A7D21" w:rsidP="00B5323F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737D2C" w:rsidRDefault="00737D2C" w:rsidP="00E71D7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37D2C" w:rsidRDefault="00737D2C" w:rsidP="00EB5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737D2C" w:rsidRPr="005A63D6" w:rsidRDefault="00737D2C" w:rsidP="00EB5C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C4134">
        <w:rPr>
          <w:rFonts w:ascii="Times New Roman" w:hAnsi="Times New Roman"/>
          <w:b/>
          <w:caps/>
          <w:sz w:val="24"/>
          <w:szCs w:val="24"/>
        </w:rPr>
        <w:t>Д</w:t>
      </w:r>
      <w:r w:rsidRPr="002C4134">
        <w:rPr>
          <w:rFonts w:ascii="Times New Roman" w:hAnsi="Times New Roman"/>
          <w:b/>
          <w:sz w:val="24"/>
          <w:szCs w:val="24"/>
        </w:rPr>
        <w:t>еловые коммуникации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2168"/>
        <w:gridCol w:w="1843"/>
        <w:gridCol w:w="1843"/>
        <w:gridCol w:w="1843"/>
        <w:gridCol w:w="1892"/>
      </w:tblGrid>
      <w:tr w:rsidR="00737D2C" w:rsidRPr="005A63D6" w:rsidTr="007A7D21">
        <w:trPr>
          <w:trHeight w:val="562"/>
        </w:trPr>
        <w:tc>
          <w:tcPr>
            <w:tcW w:w="374" w:type="pct"/>
            <w:vMerge w:val="restart"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737D2C" w:rsidRPr="005A63D6" w:rsidTr="007A7D21">
        <w:tc>
          <w:tcPr>
            <w:tcW w:w="374" w:type="pct"/>
            <w:vMerge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2" w:type="pct"/>
            <w:vAlign w:val="center"/>
          </w:tcPr>
          <w:p w:rsidR="00737D2C" w:rsidRPr="005A63D6" w:rsidRDefault="00737D2C" w:rsidP="00FA1A2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A7D21" w:rsidRPr="005A63D6" w:rsidTr="007A7D21">
        <w:trPr>
          <w:trHeight w:val="1376"/>
        </w:trPr>
        <w:tc>
          <w:tcPr>
            <w:tcW w:w="374" w:type="pct"/>
            <w:vAlign w:val="center"/>
          </w:tcPr>
          <w:p w:rsidR="007A7D21" w:rsidRPr="007A7D21" w:rsidRDefault="007A7D21" w:rsidP="007A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УК-1;</w:t>
            </w:r>
          </w:p>
        </w:tc>
        <w:tc>
          <w:tcPr>
            <w:tcW w:w="1046" w:type="pct"/>
          </w:tcPr>
          <w:p w:rsidR="007A7D21" w:rsidRPr="007A7D21" w:rsidRDefault="007A7D21" w:rsidP="007A7D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способен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  <w:tc>
          <w:tcPr>
            <w:tcW w:w="889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способен</w:t>
            </w:r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  <w:tc>
          <w:tcPr>
            <w:tcW w:w="889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Слабо способен</w:t>
            </w:r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  <w:tc>
          <w:tcPr>
            <w:tcW w:w="889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задач, но допускает ошибки</w:t>
            </w:r>
          </w:p>
        </w:tc>
        <w:tc>
          <w:tcPr>
            <w:tcW w:w="912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Способен </w:t>
            </w:r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осуществлять поиск, критический анализ и синтез информации, применять системный подход для решения поставленных задач </w:t>
            </w:r>
          </w:p>
        </w:tc>
      </w:tr>
      <w:tr w:rsidR="007A7D21" w:rsidRPr="005A63D6" w:rsidTr="007A7D21">
        <w:trPr>
          <w:trHeight w:val="1376"/>
        </w:trPr>
        <w:tc>
          <w:tcPr>
            <w:tcW w:w="374" w:type="pct"/>
            <w:vAlign w:val="center"/>
          </w:tcPr>
          <w:p w:rsidR="007A7D21" w:rsidRPr="007A7D21" w:rsidRDefault="007A7D21" w:rsidP="007A7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ОПК-1</w:t>
            </w:r>
          </w:p>
        </w:tc>
        <w:tc>
          <w:tcPr>
            <w:tcW w:w="1046" w:type="pct"/>
          </w:tcPr>
          <w:p w:rsidR="007A7D21" w:rsidRPr="007A7D21" w:rsidRDefault="007A7D21" w:rsidP="007A7D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  <w:tc>
          <w:tcPr>
            <w:tcW w:w="889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 </w:t>
            </w:r>
          </w:p>
        </w:tc>
        <w:tc>
          <w:tcPr>
            <w:tcW w:w="889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 </w:t>
            </w:r>
          </w:p>
        </w:tc>
        <w:tc>
          <w:tcPr>
            <w:tcW w:w="889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теории, но допускает ошибки</w:t>
            </w:r>
          </w:p>
        </w:tc>
        <w:tc>
          <w:tcPr>
            <w:tcW w:w="912" w:type="pct"/>
          </w:tcPr>
          <w:p w:rsidR="007A7D21" w:rsidRPr="007A7D21" w:rsidRDefault="007A7D21" w:rsidP="007A7D21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 </w:t>
            </w:r>
          </w:p>
        </w:tc>
      </w:tr>
    </w:tbl>
    <w:p w:rsidR="00737D2C" w:rsidRPr="005A63D6" w:rsidRDefault="00737D2C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737D2C" w:rsidRDefault="003C0321" w:rsidP="00E71D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</w:t>
      </w:r>
      <w:r w:rsidR="007A7D21">
        <w:rPr>
          <w:rFonts w:ascii="Times New Roman" w:hAnsi="Times New Roman"/>
          <w:sz w:val="24"/>
          <w:szCs w:val="24"/>
        </w:rPr>
        <w:t xml:space="preserve">етодические материалы </w:t>
      </w:r>
      <w:r w:rsidR="00D5743A">
        <w:rPr>
          <w:rFonts w:ascii="Times New Roman" w:hAnsi="Times New Roman"/>
          <w:sz w:val="24"/>
          <w:szCs w:val="24"/>
        </w:rPr>
        <w:t xml:space="preserve">учебной дисциплины </w:t>
      </w:r>
      <w:r w:rsidR="007A7D21">
        <w:rPr>
          <w:rFonts w:ascii="Times New Roman" w:hAnsi="Times New Roman"/>
          <w:sz w:val="24"/>
          <w:szCs w:val="24"/>
        </w:rPr>
        <w:t>составил</w:t>
      </w:r>
      <w:r w:rsidR="00737D2C">
        <w:rPr>
          <w:rFonts w:ascii="Times New Roman" w:hAnsi="Times New Roman"/>
          <w:sz w:val="24"/>
          <w:szCs w:val="24"/>
        </w:rPr>
        <w:t>:</w:t>
      </w:r>
    </w:p>
    <w:p w:rsidR="00737D2C" w:rsidRPr="005A63D6" w:rsidRDefault="00737D2C" w:rsidP="00E71D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Филонов Н.Г. профессор </w:t>
      </w:r>
      <w:r w:rsidRPr="005A63D6">
        <w:rPr>
          <w:rFonts w:ascii="Times New Roman" w:hAnsi="Times New Roman"/>
          <w:sz w:val="24"/>
          <w:szCs w:val="24"/>
        </w:rPr>
        <w:t xml:space="preserve">кафедры </w:t>
      </w:r>
      <w:r w:rsidR="00B205EC">
        <w:rPr>
          <w:rFonts w:ascii="Times New Roman" w:hAnsi="Times New Roman"/>
          <w:sz w:val="24"/>
          <w:szCs w:val="24"/>
        </w:rPr>
        <w:t xml:space="preserve">проектного </w:t>
      </w:r>
      <w:r w:rsidRPr="005A63D6">
        <w:rPr>
          <w:rFonts w:ascii="Times New Roman" w:hAnsi="Times New Roman"/>
          <w:sz w:val="24"/>
          <w:szCs w:val="24"/>
        </w:rPr>
        <w:t>менеджмента</w:t>
      </w:r>
    </w:p>
    <w:p w:rsidR="00737D2C" w:rsidRDefault="00737D2C" w:rsidP="00E71D78">
      <w:pPr>
        <w:spacing w:after="0" w:line="240" w:lineRule="auto"/>
      </w:pPr>
    </w:p>
    <w:p w:rsidR="00D5743A" w:rsidRDefault="00D5743A" w:rsidP="00E71D7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</w:t>
      </w:r>
      <w:r w:rsidR="00057AC4">
        <w:rPr>
          <w:rFonts w:ascii="Times New Roman" w:hAnsi="Times New Roman"/>
          <w:sz w:val="24"/>
          <w:szCs w:val="24"/>
        </w:rPr>
        <w:t>о менед</w:t>
      </w:r>
      <w:r w:rsidR="00EA49B5">
        <w:rPr>
          <w:rFonts w:ascii="Times New Roman" w:hAnsi="Times New Roman"/>
          <w:sz w:val="24"/>
          <w:szCs w:val="24"/>
        </w:rPr>
        <w:t>жмента Протокол №</w:t>
      </w:r>
      <w:bookmarkStart w:id="0" w:name="_GoBack"/>
      <w:bookmarkEnd w:id="0"/>
      <w:r w:rsidR="00EA49B5">
        <w:rPr>
          <w:rFonts w:ascii="Times New Roman" w:hAnsi="Times New Roman"/>
          <w:sz w:val="24"/>
          <w:szCs w:val="24"/>
        </w:rPr>
        <w:t xml:space="preserve"> 7 от 16.04.</w:t>
      </w:r>
      <w:r>
        <w:rPr>
          <w:rFonts w:ascii="Times New Roman" w:hAnsi="Times New Roman"/>
          <w:sz w:val="24"/>
          <w:szCs w:val="24"/>
        </w:rPr>
        <w:t>2024 г.</w:t>
      </w:r>
    </w:p>
    <w:sectPr w:rsidR="00D5743A" w:rsidSect="008E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6F" w:rsidRDefault="004B376F" w:rsidP="00C76270">
      <w:pPr>
        <w:spacing w:after="0" w:line="240" w:lineRule="auto"/>
      </w:pPr>
      <w:r>
        <w:separator/>
      </w:r>
    </w:p>
  </w:endnote>
  <w:endnote w:type="continuationSeparator" w:id="0">
    <w:p w:rsidR="004B376F" w:rsidRDefault="004B376F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6F" w:rsidRDefault="004B376F" w:rsidP="00C76270">
      <w:pPr>
        <w:spacing w:after="0" w:line="240" w:lineRule="auto"/>
      </w:pPr>
      <w:r>
        <w:separator/>
      </w:r>
    </w:p>
  </w:footnote>
  <w:footnote w:type="continuationSeparator" w:id="0">
    <w:p w:rsidR="004B376F" w:rsidRDefault="004B376F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87A80"/>
    <w:multiLevelType w:val="hybridMultilevel"/>
    <w:tmpl w:val="C14AA530"/>
    <w:lvl w:ilvl="0" w:tplc="F1585376">
      <w:start w:val="1"/>
      <w:numFmt w:val="bullet"/>
      <w:lvlText w:val="–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553935"/>
    <w:multiLevelType w:val="hybridMultilevel"/>
    <w:tmpl w:val="D0EC72F6"/>
    <w:lvl w:ilvl="0" w:tplc="1E30883A">
      <w:start w:val="2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0F0E51A0"/>
    <w:multiLevelType w:val="hybridMultilevel"/>
    <w:tmpl w:val="77DC8E7C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7967E81"/>
    <w:multiLevelType w:val="hybridMultilevel"/>
    <w:tmpl w:val="F7CABD46"/>
    <w:lvl w:ilvl="0" w:tplc="FAA8A484">
      <w:start w:val="1"/>
      <w:numFmt w:val="bullet"/>
      <w:lvlText w:val="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1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2">
    <w:nsid w:val="1A1F45A1"/>
    <w:multiLevelType w:val="hybridMultilevel"/>
    <w:tmpl w:val="C62A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6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A47A3"/>
    <w:multiLevelType w:val="hybridMultilevel"/>
    <w:tmpl w:val="E368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2452A6"/>
    <w:multiLevelType w:val="hybridMultilevel"/>
    <w:tmpl w:val="4260B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C613DF"/>
    <w:multiLevelType w:val="hybridMultilevel"/>
    <w:tmpl w:val="095E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4A4FE6"/>
    <w:multiLevelType w:val="hybridMultilevel"/>
    <w:tmpl w:val="E082753C"/>
    <w:lvl w:ilvl="0" w:tplc="A1A2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4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61538F"/>
    <w:multiLevelType w:val="hybridMultilevel"/>
    <w:tmpl w:val="EC4C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7">
    <w:nsid w:val="7BD438F0"/>
    <w:multiLevelType w:val="hybridMultilevel"/>
    <w:tmpl w:val="37F2A950"/>
    <w:lvl w:ilvl="0" w:tplc="741605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8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6"/>
  </w:num>
  <w:num w:numId="5">
    <w:abstractNumId w:val="5"/>
  </w:num>
  <w:num w:numId="6">
    <w:abstractNumId w:val="23"/>
  </w:num>
  <w:num w:numId="7">
    <w:abstractNumId w:val="33"/>
  </w:num>
  <w:num w:numId="8">
    <w:abstractNumId w:val="9"/>
  </w:num>
  <w:num w:numId="9">
    <w:abstractNumId w:val="3"/>
  </w:num>
  <w:num w:numId="10">
    <w:abstractNumId w:val="32"/>
  </w:num>
  <w:num w:numId="11">
    <w:abstractNumId w:val="28"/>
  </w:num>
  <w:num w:numId="12">
    <w:abstractNumId w:val="14"/>
  </w:num>
  <w:num w:numId="13">
    <w:abstractNumId w:val="4"/>
  </w:num>
  <w:num w:numId="14">
    <w:abstractNumId w:val="13"/>
  </w:num>
  <w:num w:numId="15">
    <w:abstractNumId w:val="25"/>
  </w:num>
  <w:num w:numId="16">
    <w:abstractNumId w:val="35"/>
  </w:num>
  <w:num w:numId="17">
    <w:abstractNumId w:val="11"/>
  </w:num>
  <w:num w:numId="18">
    <w:abstractNumId w:val="15"/>
  </w:num>
  <w:num w:numId="19">
    <w:abstractNumId w:val="34"/>
  </w:num>
  <w:num w:numId="20">
    <w:abstractNumId w:val="18"/>
  </w:num>
  <w:num w:numId="21">
    <w:abstractNumId w:val="30"/>
  </w:num>
  <w:num w:numId="22">
    <w:abstractNumId w:val="24"/>
  </w:num>
  <w:num w:numId="23">
    <w:abstractNumId w:val="31"/>
  </w:num>
  <w:num w:numId="24">
    <w:abstractNumId w:val="10"/>
  </w:num>
  <w:num w:numId="25">
    <w:abstractNumId w:val="26"/>
  </w:num>
  <w:num w:numId="26">
    <w:abstractNumId w:val="29"/>
  </w:num>
  <w:num w:numId="27">
    <w:abstractNumId w:val="2"/>
  </w:num>
  <w:num w:numId="28">
    <w:abstractNumId w:val="19"/>
  </w:num>
  <w:num w:numId="29">
    <w:abstractNumId w:val="17"/>
  </w:num>
  <w:num w:numId="30">
    <w:abstractNumId w:val="37"/>
  </w:num>
  <w:num w:numId="31">
    <w:abstractNumId w:val="20"/>
  </w:num>
  <w:num w:numId="32">
    <w:abstractNumId w:val="8"/>
  </w:num>
  <w:num w:numId="33">
    <w:abstractNumId w:val="21"/>
  </w:num>
  <w:num w:numId="34">
    <w:abstractNumId w:val="0"/>
  </w:num>
  <w:num w:numId="35">
    <w:abstractNumId w:val="12"/>
  </w:num>
  <w:num w:numId="36">
    <w:abstractNumId w:val="7"/>
  </w:num>
  <w:num w:numId="37">
    <w:abstractNumId w:val="36"/>
  </w:num>
  <w:num w:numId="38">
    <w:abstractNumId w:val="2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E10"/>
    <w:rsid w:val="00011C7F"/>
    <w:rsid w:val="00022DCA"/>
    <w:rsid w:val="00030A6A"/>
    <w:rsid w:val="00057AC4"/>
    <w:rsid w:val="00076E01"/>
    <w:rsid w:val="000C2B19"/>
    <w:rsid w:val="000E7574"/>
    <w:rsid w:val="00104A98"/>
    <w:rsid w:val="00191E22"/>
    <w:rsid w:val="00192622"/>
    <w:rsid w:val="001D7292"/>
    <w:rsid w:val="001F5668"/>
    <w:rsid w:val="0023070C"/>
    <w:rsid w:val="00256F67"/>
    <w:rsid w:val="0026158C"/>
    <w:rsid w:val="002B11E6"/>
    <w:rsid w:val="002B5007"/>
    <w:rsid w:val="002C4134"/>
    <w:rsid w:val="00307657"/>
    <w:rsid w:val="0032445E"/>
    <w:rsid w:val="00366C19"/>
    <w:rsid w:val="00390CE6"/>
    <w:rsid w:val="003918D7"/>
    <w:rsid w:val="00393354"/>
    <w:rsid w:val="003B5B09"/>
    <w:rsid w:val="003C0321"/>
    <w:rsid w:val="003D1C2C"/>
    <w:rsid w:val="003E1484"/>
    <w:rsid w:val="00482095"/>
    <w:rsid w:val="004B376F"/>
    <w:rsid w:val="00531950"/>
    <w:rsid w:val="00541D07"/>
    <w:rsid w:val="00586703"/>
    <w:rsid w:val="00587385"/>
    <w:rsid w:val="00591E4F"/>
    <w:rsid w:val="005A3BD6"/>
    <w:rsid w:val="005A63D6"/>
    <w:rsid w:val="00617747"/>
    <w:rsid w:val="006B3B7F"/>
    <w:rsid w:val="006E1841"/>
    <w:rsid w:val="006E4B00"/>
    <w:rsid w:val="00727D47"/>
    <w:rsid w:val="00737D2C"/>
    <w:rsid w:val="00742484"/>
    <w:rsid w:val="00750367"/>
    <w:rsid w:val="00766ADF"/>
    <w:rsid w:val="007A7D21"/>
    <w:rsid w:val="007C4A2B"/>
    <w:rsid w:val="007C536B"/>
    <w:rsid w:val="007D1135"/>
    <w:rsid w:val="007E253B"/>
    <w:rsid w:val="007E5625"/>
    <w:rsid w:val="007F19BB"/>
    <w:rsid w:val="0080334C"/>
    <w:rsid w:val="00823805"/>
    <w:rsid w:val="008304F3"/>
    <w:rsid w:val="0083680F"/>
    <w:rsid w:val="008727C3"/>
    <w:rsid w:val="00875580"/>
    <w:rsid w:val="008D44E8"/>
    <w:rsid w:val="008D5A27"/>
    <w:rsid w:val="008E2BBB"/>
    <w:rsid w:val="008E3D9B"/>
    <w:rsid w:val="008F5FDF"/>
    <w:rsid w:val="008F6121"/>
    <w:rsid w:val="00900929"/>
    <w:rsid w:val="00941E18"/>
    <w:rsid w:val="00966158"/>
    <w:rsid w:val="00977580"/>
    <w:rsid w:val="00990A5B"/>
    <w:rsid w:val="009C591D"/>
    <w:rsid w:val="009E5582"/>
    <w:rsid w:val="00A01796"/>
    <w:rsid w:val="00A57192"/>
    <w:rsid w:val="00A60E10"/>
    <w:rsid w:val="00A6467A"/>
    <w:rsid w:val="00A7506A"/>
    <w:rsid w:val="00A76A92"/>
    <w:rsid w:val="00A775BE"/>
    <w:rsid w:val="00A85CF9"/>
    <w:rsid w:val="00A95799"/>
    <w:rsid w:val="00AA4231"/>
    <w:rsid w:val="00AB150C"/>
    <w:rsid w:val="00AB4117"/>
    <w:rsid w:val="00B0069D"/>
    <w:rsid w:val="00B205EC"/>
    <w:rsid w:val="00B5323F"/>
    <w:rsid w:val="00BD51E0"/>
    <w:rsid w:val="00BF7418"/>
    <w:rsid w:val="00C55704"/>
    <w:rsid w:val="00C76270"/>
    <w:rsid w:val="00C76613"/>
    <w:rsid w:val="00C77152"/>
    <w:rsid w:val="00CB7C52"/>
    <w:rsid w:val="00CC0A0B"/>
    <w:rsid w:val="00CD00A2"/>
    <w:rsid w:val="00CD4453"/>
    <w:rsid w:val="00CD7DFC"/>
    <w:rsid w:val="00CE0AC2"/>
    <w:rsid w:val="00D16591"/>
    <w:rsid w:val="00D31037"/>
    <w:rsid w:val="00D5743A"/>
    <w:rsid w:val="00D701E0"/>
    <w:rsid w:val="00D7047E"/>
    <w:rsid w:val="00DE184A"/>
    <w:rsid w:val="00E16237"/>
    <w:rsid w:val="00E21CC4"/>
    <w:rsid w:val="00E529FB"/>
    <w:rsid w:val="00E71D78"/>
    <w:rsid w:val="00EA49B5"/>
    <w:rsid w:val="00EB5CE4"/>
    <w:rsid w:val="00F71B4F"/>
    <w:rsid w:val="00F8007E"/>
    <w:rsid w:val="00FA1A25"/>
    <w:rsid w:val="00FA2648"/>
    <w:rsid w:val="00FC4277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5A27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CE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6270"/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76270"/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8D5A27"/>
    <w:rPr>
      <w:sz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D5A27"/>
    <w:rPr>
      <w:sz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D5A27"/>
    <w:rPr>
      <w:sz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8D5A27"/>
    <w:rPr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8D5A27"/>
    <w:rPr>
      <w:lang w:eastAsia="en-US"/>
    </w:rPr>
  </w:style>
  <w:style w:type="character" w:customStyle="1" w:styleId="ae">
    <w:name w:val="Основной текст_"/>
    <w:uiPriority w:val="99"/>
    <w:rsid w:val="005A63D6"/>
    <w:rPr>
      <w:rFonts w:ascii="Sylfaen" w:hAnsi="Sylfaen"/>
      <w:sz w:val="28"/>
    </w:rPr>
  </w:style>
  <w:style w:type="paragraph" w:customStyle="1" w:styleId="article">
    <w:name w:val="article"/>
    <w:basedOn w:val="a"/>
    <w:uiPriority w:val="99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3674</Words>
  <Characters>20944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Solnce</dc:creator>
  <cp:keywords/>
  <dc:description/>
  <cp:lastModifiedBy>user</cp:lastModifiedBy>
  <cp:revision>36</cp:revision>
  <dcterms:created xsi:type="dcterms:W3CDTF">2015-12-22T02:47:00Z</dcterms:created>
  <dcterms:modified xsi:type="dcterms:W3CDTF">2024-06-18T11:47:00Z</dcterms:modified>
</cp:coreProperties>
</file>