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ED" w:rsidRPr="00587BED" w:rsidRDefault="00587BED" w:rsidP="00587BED">
      <w:pPr>
        <w:shd w:val="clear" w:color="auto" w:fill="FFFFFF"/>
        <w:spacing w:after="0" w:line="240" w:lineRule="auto"/>
        <w:ind w:hanging="379"/>
        <w:jc w:val="center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МИНИСТЕРСТВО НАУКИ.'И ВЫСШЕГО ОБРАЗОВАНИЯ РОССИЙСКОЙ ФЕДЕРАЦИИ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ind w:hanging="3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Федеральное государственное бюджетное образовательное учреждение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Высшего образования 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«Томский государственный педагогический университет»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</w:pPr>
      <w:r w:rsidRPr="00587BED">
        <w:rPr>
          <w:rFonts w:ascii="Times New Roman" w:eastAsia="Calibri" w:hAnsi="Times New Roman" w:cs="Times New Roman"/>
          <w:bCs/>
          <w:color w:val="000000"/>
          <w:spacing w:val="-11"/>
          <w:sz w:val="24"/>
          <w:szCs w:val="24"/>
        </w:rPr>
        <w:t>(</w:t>
      </w:r>
      <w:r w:rsidRPr="00587BED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  <w:t>ТГПУ)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Calibri" w:hAnsi="Times New Roman" w:cs="Times New Roman"/>
          <w:sz w:val="24"/>
          <w:szCs w:val="24"/>
        </w:rPr>
        <w:t>Институт педагогики и психологии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Факультет психолого-педагогического и специального образования</w:t>
      </w:r>
    </w:p>
    <w:p w:rsidR="00587BED" w:rsidRPr="00587BED" w:rsidRDefault="00587BED" w:rsidP="00587BED">
      <w:pPr>
        <w:widowControl w:val="0"/>
        <w:numPr>
          <w:ilvl w:val="0"/>
          <w:numId w:val="32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color w:val="000000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и оценочные материалы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текущего </w:t>
      </w:r>
      <w:r w:rsidRPr="00587BED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контроля и промежуточной аттестации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>по дисциплине</w:t>
      </w:r>
      <w:r w:rsidRPr="00587BED"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</w:rPr>
        <w:t xml:space="preserve"> </w:t>
      </w:r>
      <w:r w:rsidRPr="00587BED"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Алалия</w:t>
      </w:r>
      <w:r w:rsidRPr="00587BE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» 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реализуемой в составе образовательной программы 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587BED">
        <w:rPr>
          <w:rFonts w:ascii="Times New Roman" w:eastAsia="Calibri" w:hAnsi="Times New Roman" w:cs="Times New Roman"/>
          <w:b/>
          <w:sz w:val="24"/>
          <w:szCs w:val="24"/>
        </w:rPr>
        <w:t>44.03.03</w:t>
      </w:r>
      <w:r w:rsidRPr="00587BED">
        <w:rPr>
          <w:rFonts w:ascii="Times New Roman" w:eastAsia="Calibri" w:hAnsi="Times New Roman" w:cs="Times New Roman"/>
          <w:color w:val="444444"/>
          <w:sz w:val="24"/>
          <w:szCs w:val="24"/>
        </w:rPr>
        <w:t xml:space="preserve"> </w:t>
      </w:r>
      <w:r w:rsidRPr="00587B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BED">
        <w:rPr>
          <w:rFonts w:ascii="Times New Roman" w:eastAsia="Calibri" w:hAnsi="Times New Roman" w:cs="Times New Roman"/>
          <w:b/>
          <w:sz w:val="24"/>
          <w:szCs w:val="24"/>
        </w:rPr>
        <w:t>Специальное</w:t>
      </w:r>
      <w:proofErr w:type="gramEnd"/>
      <w:r w:rsidRPr="00587BED">
        <w:rPr>
          <w:rFonts w:ascii="Times New Roman" w:eastAsia="Calibri" w:hAnsi="Times New Roman" w:cs="Times New Roman"/>
          <w:b/>
          <w:sz w:val="24"/>
          <w:szCs w:val="24"/>
        </w:rPr>
        <w:t xml:space="preserve"> (дефектологическое) образование</w:t>
      </w:r>
    </w:p>
    <w:p w:rsidR="00587BED" w:rsidRPr="00587BED" w:rsidRDefault="00587BED" w:rsidP="00587BED">
      <w:pPr>
        <w:shd w:val="clear" w:color="auto" w:fill="FFFFFF"/>
        <w:tabs>
          <w:tab w:val="left" w:pos="5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направленность (профиль) «Логопедия»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Calibri" w:hAnsi="Times New Roman" w:cs="Times New Roman"/>
          <w:sz w:val="24"/>
          <w:szCs w:val="24"/>
        </w:rPr>
        <w:t>Томск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587BED" w:rsidRPr="00587BED" w:rsidRDefault="00587BED" w:rsidP="00587BED">
      <w:pPr>
        <w:spacing w:line="256" w:lineRule="auto"/>
        <w:rPr>
          <w:rFonts w:ascii="Calibri" w:eastAsia="Calibri" w:hAnsi="Calibri" w:cs="Times New Roman"/>
        </w:rPr>
      </w:pPr>
    </w:p>
    <w:p w:rsidR="00587BED" w:rsidRDefault="00587BED">
      <w:pPr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br w:type="page"/>
      </w:r>
    </w:p>
    <w:p w:rsidR="00D93452" w:rsidRPr="00D93452" w:rsidRDefault="00D93452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lastRenderedPageBreak/>
        <w:t>Пояснительная записка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ценочных и методических материалов</w:t>
      </w:r>
      <w:r w:rsidRPr="00D93452"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D93452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D93452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включают контрольные материалы для проведения текущего контроля и промежуточной аттестации в форме тестовых заданий, рефератов, докладов</w:t>
      </w:r>
      <w:r w:rsidR="0075543C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, экзамен</w:t>
      </w:r>
      <w:r w:rsidR="002D38C9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а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D93452" w:rsidRDefault="00D93452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профессиональные компетенции (ПК</w:t>
      </w:r>
      <w:proofErr w:type="gramStart"/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):</w:t>
      </w:r>
      <w:r w:rsidRPr="00D93452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:</w:t>
      </w:r>
      <w:proofErr w:type="gramEnd"/>
    </w:p>
    <w:p w:rsidR="000D7BD5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:rsidR="000D7BD5" w:rsidRPr="00D93452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Оценочные и методические материалы </w:t>
      </w:r>
    </w:p>
    <w:p w:rsid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«Алалия»</w:t>
      </w:r>
    </w:p>
    <w:p w:rsidR="006064E2" w:rsidRPr="00D93452" w:rsidRDefault="006064E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6064E2" w:rsidRDefault="006064E2" w:rsidP="006064E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6064E2" w:rsidRDefault="006064E2" w:rsidP="006064E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4610"/>
        <w:gridCol w:w="2534"/>
        <w:gridCol w:w="1911"/>
      </w:tblGrid>
      <w:tr w:rsidR="006064E2" w:rsidTr="006064E2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6064E2" w:rsidRDefault="006064E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(темы) дисциплины*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6064E2" w:rsidTr="006064E2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2" w:rsidRDefault="006064E2" w:rsidP="006064E2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1</w:t>
            </w:r>
          </w:p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Методологическое и методическое значение курса</w:t>
            </w:r>
          </w:p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 xml:space="preserve">ПК-1, ПК-2,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Экзамен, тест</w:t>
            </w:r>
          </w:p>
        </w:tc>
      </w:tr>
      <w:tr w:rsidR="006064E2" w:rsidTr="006064E2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2" w:rsidRDefault="006064E2" w:rsidP="006064E2">
            <w:pPr>
              <w:widowControl w:val="0"/>
              <w:numPr>
                <w:ilvl w:val="0"/>
                <w:numId w:val="33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Раздел 2 </w:t>
            </w:r>
          </w:p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Современные классификации алалии и характеристика основных форм.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 xml:space="preserve">ПК-1, ПК-2,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Экзамен, тест, доклад</w:t>
            </w:r>
          </w:p>
        </w:tc>
      </w:tr>
      <w:tr w:rsidR="006064E2" w:rsidTr="006064E2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2" w:rsidRDefault="006064E2" w:rsidP="006064E2">
            <w:pPr>
              <w:widowControl w:val="0"/>
              <w:numPr>
                <w:ilvl w:val="0"/>
                <w:numId w:val="33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3</w:t>
            </w:r>
          </w:p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 xml:space="preserve">Дифференциальная диагностика алалии и </w:t>
            </w:r>
            <w:proofErr w:type="gramStart"/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других  форм</w:t>
            </w:r>
            <w:proofErr w:type="gramEnd"/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 xml:space="preserve"> нарушений речи.</w:t>
            </w:r>
          </w:p>
          <w:p w:rsidR="006064E2" w:rsidRDefault="006064E2">
            <w:pPr>
              <w:widowControl w:val="0"/>
              <w:shd w:val="clear" w:color="auto" w:fill="FFFFFF"/>
              <w:tabs>
                <w:tab w:val="left" w:pos="29"/>
              </w:tabs>
              <w:suppressAutoHyphens/>
              <w:spacing w:after="0" w:line="240" w:lineRule="auto"/>
              <w:ind w:left="29"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  <w:tr w:rsidR="006064E2" w:rsidTr="006064E2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426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4</w:t>
            </w:r>
          </w:p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Моторная алалия. Причины, механизм, симптоматика.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  <w:tr w:rsidR="006064E2" w:rsidTr="006064E2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426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5</w:t>
            </w:r>
          </w:p>
          <w:p w:rsidR="006064E2" w:rsidRDefault="006064E2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Сенсорная алалия. Причины, механизм, симптоматика..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2" w:rsidRDefault="006064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</w:tbl>
    <w:p w:rsidR="006064E2" w:rsidRDefault="006064E2" w:rsidP="006064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6064E2" w:rsidRDefault="006064E2" w:rsidP="006064E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D93452" w:rsidRPr="00D93452" w:rsidRDefault="00D93452" w:rsidP="00D934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</w:t>
      </w:r>
    </w:p>
    <w:p w:rsidR="00D93452" w:rsidRPr="00D93452" w:rsidRDefault="00D93452" w:rsidP="00D93452">
      <w:pPr>
        <w:tabs>
          <w:tab w:val="left" w:pos="993"/>
        </w:tabs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Обносова</w:t>
      </w:r>
      <w:proofErr w:type="spellEnd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Г.П.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доцент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br w:type="page"/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Тест по дисциплине «Алалия»</w:t>
      </w:r>
    </w:p>
    <w:p w:rsidR="00D93452" w:rsidRPr="00D93452" w:rsidRDefault="00D93452" w:rsidP="00D93452">
      <w:pPr>
        <w:suppressAutoHyphens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sz w:val="24"/>
          <w:szCs w:val="24"/>
          <w:lang w:eastAsia="ar-SA"/>
        </w:rPr>
        <w:t>1.Алалия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Распад сложившейся речевой (языковой) системы вследствие локального поражения головного мозга у детей.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вышеприведенные определения верны.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Какой фактор в наибольшей степени обуславливает возникновение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Наследственность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Асфиксия в натальный период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Соматические заболевания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Социальные причины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Какой автор выделяет 3 формы алалии: сенсорную, моторную (эфферентную и афферентную) и оптическую?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4. Н.Н.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Трауготт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изучая детей с моторной алалией, отметила у них нарушения языкового подражания.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Дети с трудом различали сочетания звуков АОУ при отсутствии повторения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Дети всегда замечали ошибки при повторении звукового ряда другими детьми.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Дети не замечали собственные ошибки при выполнении задания на повтор звукового ряда.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вышеперечисленное.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В чем заключается особенности мышления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Всегда нарушено, т.к. нарушение речи у таких детей является проявлением интеллектуальной недостаточности.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Мышление страдает вторично, вследствие изменения процесса общения с взрослыми.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Мышление нарушено дифференцированно: особенно страдает вербально-логическое.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6. В чем заключается психологическая точка зрения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Сколько этапов логопедической работы при моторной алалии выделила О.В. Правдина?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в.2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8. Как называется 3-й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9. В чем заключается принципиальное отличие моторной алалии от нарушений речи у слабослышащих?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алалков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Сколько повторов требуется сенсорным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для закрепления связи между предметом и акустическим образом слова?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2-3 повтора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б.10-12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100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20-30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11. Каково современное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представление  о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локализации высших психических функций (ВПФ)?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Узкий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локализационизм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– в мозге выделяют зоны (центры), отвечающие за те или иные функции.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Ноэтическое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направление – все структуры мозга имеют одинаковые функциональные возможности.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Динамическая организация </w:t>
      </w:r>
      <w:proofErr w:type="gram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ВПФ  –</w:t>
      </w:r>
      <w:proofErr w:type="gram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мозг имеет системное строение и в то же время работает дифференцированно.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12. Какое из приведенных утверждений является наиболее современным и полным? 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в. Центрального происхождения немота детей, никогда внятно не говоривших, при наличии у них достаточного для развития интеллекта, элементарного анализа и синтеза и периферического артикуляционного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аппарата..</w:t>
      </w:r>
      <w:proofErr w:type="gram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Расстройство развития языковой способности у детей, которая характеризуется нарушением языковых операций при восприятии и порождении речевых высказываний.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13. В скольких процентах случаев у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алаликов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анамнезе присутствует родовая асфиксия?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В 20%.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 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В 80%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 100%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8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14. Какой автор выделяет 3 группы детей с алалией: с нарушениями слухового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 xml:space="preserve">фонематического восприятия; с нарушением зрительного восприятия; с нарушением психической активности?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В.К. Воробьева, изучая детей с моторной алалией, отметила у них нарушения связной речи.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Всех детей можно разделить на 2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суть.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Все дети не смогли, как верно разложить серию картинок, так и составить по ним рассказ.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в. Дети разделились на 3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суть; третья группа правильно определила последовательность картинок и составила предельно краткие рассказы.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дети проявляли речевой негативизм и отказывались выполнять это задание.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В чем заключается особенности памяти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Быстрое угасание словесных следов.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Не отличается от возрастной нормы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Особенно страдает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речедвигательная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память.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17. В чем заключаются взгляды приверженцев моторной теории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Сколько этапов логопедической работы при моторной алалии выделили Е.М.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Мастюкова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Т.Б. Филичева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</w:t>
      </w:r>
      <w:r w:rsidR="002D38C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</w:t>
      </w:r>
      <w:r w:rsidR="002D38C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="00F65BBD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19. Как называется 2-й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20. В чем заключается принципиальное отличие моторной алалии от дизартрии?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lastRenderedPageBreak/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Какое количество привычных звуков узнают сенсорные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отличие от нормы?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50%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За что отвечают первичные зоны второго функционального блока (по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Синтез ощущений, обеспечение процессов восприятия, узнавания,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гнозиса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(слухового, зрительного и др.)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Обеспечивают выполнение сложный функций, в том числе символических: счета, письма, чтения и др.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Прием информации от анализаторов, переработка ее в ощущения.</w:t>
      </w:r>
    </w:p>
    <w:p w:rsidR="00D93452" w:rsidRPr="00D93452" w:rsidRDefault="00D93452" w:rsidP="00D93452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D93452" w:rsidRPr="00D93452" w:rsidTr="008446A4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22</w:t>
            </w:r>
          </w:p>
        </w:tc>
      </w:tr>
      <w:tr w:rsidR="00D93452" w:rsidRPr="00D93452" w:rsidTr="008446A4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ПК – 1, ПК – 2</w:t>
            </w:r>
          </w:p>
        </w:tc>
      </w:tr>
      <w:tr w:rsidR="00D93452" w:rsidRPr="00D93452" w:rsidTr="008446A4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D93452" w:rsidRPr="00D93452" w:rsidTr="008446A4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D93452" w:rsidRPr="00D93452" w:rsidTr="008446A4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23</w:t>
            </w:r>
          </w:p>
        </w:tc>
      </w:tr>
      <w:tr w:rsidR="00D93452" w:rsidRPr="00D93452" w:rsidTr="008446A4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«5» - 22-20 тестовых баллов (100 - 84 %)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«4» - 19- 16 тестовых баллов (78 – 52%)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«3» -  15-10 тестовых баллов (47 –26 %)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«2» - 9  (и ниже) тестовых баллов (21- 0%)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Примеры рефератов</w:t>
      </w:r>
    </w:p>
    <w:p w:rsidR="00D93452" w:rsidRPr="00D93452" w:rsidRDefault="00D93452" w:rsidP="00D93452">
      <w:pPr>
        <w:widowControl w:val="0"/>
        <w:suppressAutoHyphens/>
        <w:spacing w:after="0" w:line="276" w:lineRule="auto"/>
        <w:ind w:right="-2"/>
        <w:jc w:val="center"/>
        <w:rPr>
          <w:rFonts w:ascii="Times New Roman" w:eastAsia="DejaVu Sans" w:hAnsi="Times New Roman" w:cs="DejaVu Sans"/>
          <w:b/>
          <w:kern w:val="1"/>
          <w:sz w:val="28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Характеристика связной речи у детей с моторной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Обследование речи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Психолого-педагогическая характеристика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Неречевые нарушения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Развитие словаря у детей с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Структура речевого дефекта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Формирование грамматического строя речи у детей с мо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softHyphen/>
        <w:t>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Сравнительная характеристика речи у детей с моторной алалией и умственной отсталостью.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Биологические и социальные факторы риска в развитии речевой патологии.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Исследование сформированности «чувства языка» у дошкольни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ков с системным недоразвитием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Восприятие связных речевых сообщений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t>Сопоставительный анализ состояния связной речи детей с сис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темным недоразвитием речи и нормативным развитием.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ориентировочной деятельности детей с системным нару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шением речи по опознанию образцов текстовых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Динамика овладения навыками и умениями связной монологи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ческой речи.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восприятия текстовых сообщений учащимися с тяже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Возможности прогнозирования в процессе восприятия связного речевого сообщения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 специфике речевого поведения детей с отклонениями в разви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тии в условиях монологического общения.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Изучение мотивации учебной речевой деятельности.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понимания учебных текстов школьниками с 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личными речевыми нарушениями.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понимания текстовых сообщений детьми с системным нарушением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ориентировочных действий по опознанию образ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цов связной речи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операции замысла связного речевого сообщения у детей с системным недоразвитием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первоначальным навыкам связного говорения детей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прогностических операций в процессе восприя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тия речевых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навыкам и умениям по построению связных повество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вательных рассказов.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прогностических операций в процессе порождения связных сообщений у школьников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формирования семантической структуры слова в процессе обучения связной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Формирование связной описательной речи у детей дошкольного и школьного возраста с отклонениями в речевом </w:t>
      </w:r>
      <w:proofErr w:type="gramStart"/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развитии..</w:t>
      </w:r>
      <w:proofErr w:type="gramEnd"/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тяжелыми нарушениями речи програм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мированию связных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Методы и приемы формирования межфразовой связи в тексто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вых сообщениях младших школьников с тяжелыми нарушения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текстовых умений у учащихся 3—4 классов спе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циальной коррекционной школы 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val="en-US" w:eastAsia="hi-IN" w:bidi="hi-IN"/>
        </w:rPr>
        <w:t>V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вида.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системным недоразвитием речи кратко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му пересказу.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2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Реферат – сбор и представление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1) титульный лист (оформляется по образцу, утвержденному кафедрой);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план работы с указанием страниц каждого пункта;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5) заключение;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6) список 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lastRenderedPageBreak/>
        <w:t>Алгоритм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учебного</w:t>
      </w:r>
      <w:proofErr w:type="spellEnd"/>
      <w:r w:rsidRPr="00D93452">
        <w:rPr>
          <w:rFonts w:ascii="Times New Roman" w:eastAsia="Times New Roman" w:hAnsi="Times New Roman" w:cs="DejaVu Sans"/>
          <w:b/>
          <w:bCs/>
          <w:spacing w:val="-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структурировать, выделять главное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обобщать</w:t>
            </w:r>
            <w:r w:rsidRPr="00D93452">
              <w:rPr>
                <w:rFonts w:ascii="Times New Roman" w:eastAsia="DejaVu Sans" w:hAnsi="Times New Roman" w:cs="DejaVu Sans"/>
                <w:b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материал: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-обоснование актуальности проблемы и темы для теории и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практики;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-соответствие плана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теме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-охват планом всех аспектов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сформулированной темы;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теме и плану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-постановка проблемы для</w:t>
            </w:r>
            <w:r w:rsidRPr="00D93452">
              <w:rPr>
                <w:rFonts w:ascii="Times New Roman" w:eastAsia="DejaVu Sans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-формулирование выводов по каждому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параграфу;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-формулирование выводов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всей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-систематизация и структурирование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-полнота и глубина раскрытия основных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понятий проблемы;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использование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терминологии;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-сопоставление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различных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точек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Зрения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проблеме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изучения;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собственной авторской позиции,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самостоятельность суждений;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формулирование собственного оценочного отношения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рассматриваемому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работать с</w:t>
            </w:r>
            <w:r w:rsidRPr="00D93452">
              <w:rPr>
                <w:rFonts w:ascii="Times New Roman" w:eastAsia="DejaVu Sans" w:hAnsi="Times New Roman" w:cs="DejaVu Sans"/>
                <w:b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первоисточниками: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-выделение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главного;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-адекватное изложение мысли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первоисточника собственными словами или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 использованием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-уместное и достаточное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цитирование первоисточников;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-использование для освещения выбранной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темы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 менее 5-7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-круг, полнота использования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Грамотность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орфографических,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синтаксических, пунктуационных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ошибок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-грамотность и культура</w:t>
            </w:r>
            <w:r w:rsidRPr="00D93452">
              <w:rPr>
                <w:rFonts w:ascii="Times New Roman" w:eastAsia="DejaVu Sans" w:hAnsi="Times New Roman" w:cs="DejaVu Sans"/>
                <w:spacing w:val="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изложения;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научный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оформлять письменную</w:t>
            </w:r>
            <w:r w:rsidRPr="00D93452">
              <w:rPr>
                <w:rFonts w:ascii="Times New Roman" w:eastAsia="DejaVu Sans" w:hAnsi="Times New Roman" w:cs="DejaVu Sans"/>
                <w:b/>
                <w:spacing w:val="-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работу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-правильное оформление ссылок на</w:t>
            </w:r>
            <w:r w:rsidRPr="00D93452">
              <w:rPr>
                <w:rFonts w:ascii="Times New Roman" w:eastAsia="DejaVu Sans" w:hAnsi="Times New Roman" w:cs="DejaVu Sans"/>
                <w:spacing w:val="-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используемую литературу;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составление списка</w:t>
            </w:r>
            <w:r w:rsidRPr="00D93452">
              <w:rPr>
                <w:rFonts w:ascii="Times New Roman" w:eastAsia="DejaVu Sans" w:hAnsi="Times New Roman" w:cs="DejaVu Sans"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-соблюдение требований к оформлению и</w:t>
            </w:r>
            <w:r w:rsidRPr="00D93452">
              <w:rPr>
                <w:rFonts w:ascii="Times New Roman" w:eastAsia="DejaVu Sans" w:hAnsi="Times New Roman" w:cs="DejaVu Sans"/>
                <w:spacing w:val="-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Примеры докладов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1.Особенности работы над звукопроизношением при моторной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2.Обследование детей с алалией.</w:t>
      </w:r>
    </w:p>
    <w:p w:rsidR="00D93452" w:rsidRPr="00D93452" w:rsidRDefault="00D93452" w:rsidP="00D9345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  <w:r w:rsidRPr="00D934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4.Диагностика особенностей словообразования у детей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 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5.Диагностика особенностей звукопроизношения у детей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 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6.Принципы работы над звукопроизношением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8.Состояние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контроля  за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органами артикуляции у детей с алалией.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9.Специфика проведения артикуляционной гимнастики у детей с алалией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10.Развитие голосовой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функции  при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Развитие кинестетической основы артикуляторных движений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Особенности работы над механизмом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слогообразования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при различных формах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Определение  структуры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дефекта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Ранняя диагностика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признаки  сенсорной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клинические признаки моторных форм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Комплексный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подход  коррекции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речи у детей с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алалией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Логопедическая работа по формированию лексико-грамматического строя и связной речи у детей с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3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Коррекция дыхания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Коррекция голоса при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афазии.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дизартрии и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Профилактика ОНР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Патогенез алалии. Психолого-педагогическая характеристика детей с ОНР 3 уровня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 моторной</w:t>
      </w:r>
      <w:proofErr w:type="gramEnd"/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2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моторной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1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Дифференциальная диагностика алалии и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нейросенсорной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тугоухости.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синдрома РДА.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недостаточности интеллектуального развития.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 доклада, выступления,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сообщения</w:t>
      </w:r>
    </w:p>
    <w:p w:rsidR="00D93452" w:rsidRPr="00D93452" w:rsidRDefault="00D93452" w:rsidP="00D93452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DejaVu Sans" w:hAnsi="Times New Roman" w:cs="DejaVu Sans"/>
                <w:spacing w:val="-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представляющий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публичное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выступление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полученных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результатов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определенной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 научной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сообщение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(выступление);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вопросы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комментарии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замечания 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доклада,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его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теоретических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достоинств 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недостатков,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дополнения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замечания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нему;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заключительное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слово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5)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Соответствие содержания заявленной теме. Доклад содержит сформулированное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этом: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Определено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место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исследуемого</w:t>
            </w:r>
            <w:r w:rsidRPr="00D93452">
              <w:rPr>
                <w:rFonts w:ascii="Times New Roman" w:eastAsia="DejaVu Sans" w:hAnsi="Times New Roman" w:cs="DejaVu Sans"/>
                <w:spacing w:val="-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</w:t>
            </w:r>
            <w:r w:rsidRPr="00D93452">
              <w:rPr>
                <w:rFonts w:ascii="Times New Roman" w:eastAsia="DejaVu Sans" w:hAnsi="Times New Roman" w:cs="DejaVu Sans"/>
                <w:i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проектами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Обозначен круг понятий и терминов, необходимых </w:t>
            </w:r>
            <w:proofErr w:type="gram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 описания</w:t>
            </w:r>
            <w:proofErr w:type="gram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исследуемого (рассматриваемого) тезиса.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D93452">
              <w:rPr>
                <w:rFonts w:ascii="Times New Roman" w:eastAsia="DejaVu Sans" w:hAnsi="Times New Roman" w:cs="DejaVu Sans"/>
                <w:i/>
                <w:spacing w:val="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D93452">
              <w:rPr>
                <w:rFonts w:ascii="Times New Roman" w:eastAsia="DejaVu Sans" w:hAnsi="Times New Roman" w:cs="DejaVu Sans"/>
                <w:i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D93452">
              <w:rPr>
                <w:rFonts w:ascii="Times New Roman" w:eastAsia="DejaVu Sans" w:hAnsi="Times New Roman" w:cs="DejaVu Sans"/>
                <w:i/>
                <w:spacing w:val="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примеров из мировой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практики)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от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другой.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Подача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материала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выступления: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свободное</w:t>
            </w:r>
            <w:r w:rsidRPr="00D93452">
              <w:rPr>
                <w:rFonts w:ascii="Times New Roman" w:eastAsia="DejaVu Sans" w:hAnsi="Times New Roman" w:cs="DejaVu Sans"/>
                <w:spacing w:val="-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аудиторией.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источники, авторов</w:t>
            </w:r>
            <w:r w:rsidRPr="00D93452">
              <w:rPr>
                <w:rFonts w:ascii="Times New Roman" w:eastAsia="DejaVu Sans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исследований.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 к докладам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обучающегося.</w:t>
            </w:r>
          </w:p>
          <w:p w:rsidR="00D93452" w:rsidRPr="00D93452" w:rsidRDefault="00D93452" w:rsidP="00D93452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(от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D93452">
              <w:rPr>
                <w:rFonts w:ascii="Times New Roman" w:eastAsia="Times New Roman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—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документ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комплект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документов,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предназначенный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чего-либо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(организации,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проекта,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продукта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т.п.).</w:t>
            </w:r>
          </w:p>
          <w:p w:rsidR="00D93452" w:rsidRPr="00D93452" w:rsidRDefault="00D93452" w:rsidP="00D93452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  <w:r w:rsidRPr="00D93452">
              <w:rPr>
                <w:rFonts w:ascii="Times New Roman" w:eastAsia="Times New Roman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—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донести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до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полноценную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информацию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удобной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может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сочетание текста,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гипертекстовых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ссылок,</w:t>
            </w:r>
            <w:r w:rsidRPr="00D93452">
              <w:rPr>
                <w:rFonts w:ascii="Times New Roman" w:eastAsia="DejaVu Sans" w:hAnsi="Times New Roman" w:cs="DejaVu Sans"/>
                <w:spacing w:val="2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компьютерной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анимации, графики,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видео,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музыки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звукового ряда (но</w:t>
            </w:r>
            <w:r w:rsidRPr="00D93452">
              <w:rPr>
                <w:rFonts w:ascii="Times New Roman" w:eastAsia="DejaVu Sans" w:hAnsi="Times New Roman" w:cs="DejaVu Sans"/>
                <w:spacing w:val="5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>не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обязательно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>всё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вместе),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которые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единую среду. Есть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сюжет,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сценарий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структура,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организованная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удобного восприятия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особенностью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является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её интерактивность,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есть создаваемая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пользователя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возможность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через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элементы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Алгоритм</w:t>
      </w:r>
      <w:proofErr w:type="spellEnd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DejaVu Sans" w:hAnsi="Times New Roman" w:cs="DejaVu Sans"/>
          <w:b/>
          <w:spacing w:val="-1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содержанию: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содержанию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lastRenderedPageBreak/>
              <w:t>-объединение семантически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-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D93452">
              <w:rPr>
                <w:rFonts w:ascii="Times New Roman" w:eastAsia="DejaVu Sans" w:hAnsi="Times New Roman" w:cs="DejaVu Sans"/>
                <w:spacing w:val="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lastRenderedPageBreak/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тексту: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лаконичность текста на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текста.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D93452">
              <w:rPr>
                <w:rFonts w:ascii="Times New Roman" w:eastAsia="DejaVu Sans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D93452">
              <w:rPr>
                <w:rFonts w:ascii="Times New Roman" w:eastAsia="DejaVu Sans" w:hAnsi="Times New Roman" w:cs="DejaVu Sans"/>
                <w:spacing w:val="3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D93452">
              <w:rPr>
                <w:rFonts w:ascii="Times New Roman" w:eastAsia="Times New Roman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Arial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Calibri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D93452">
              <w:rPr>
                <w:rFonts w:ascii="Times New Roman" w:eastAsia="Times New Roman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вариантов шрифта;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D93452">
              <w:rPr>
                <w:rFonts w:ascii="Times New Roman" w:eastAsia="DejaVu Sans" w:hAnsi="Times New Roman" w:cs="DejaVu Sans"/>
                <w:spacing w:val="1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D93452">
              <w:rPr>
                <w:rFonts w:ascii="Times New Roman" w:eastAsia="DejaVu Sans" w:hAnsi="Times New Roman" w:cs="DejaVu Sans"/>
                <w:spacing w:val="-2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1:0,375 до 1:0,75;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-длина строки не более 36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знаков;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а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между абзацев – 2</w:t>
            </w:r>
            <w:r w:rsidRPr="00D93452">
              <w:rPr>
                <w:rFonts w:ascii="Times New Roman" w:eastAsia="Times New Roman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интервала;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гиперссылках;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D93452">
              <w:rPr>
                <w:rFonts w:ascii="Times New Roman" w:eastAsia="DejaVu Sans" w:hAnsi="Times New Roman" w:cs="DejaVu Sans"/>
                <w:spacing w:val="2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 средствам</w:t>
            </w:r>
            <w:r w:rsidRPr="00D93452">
              <w:rPr>
                <w:rFonts w:ascii="Times New Roman" w:eastAsia="DejaVu Sans" w:hAnsi="Times New Roman" w:cs="DejaVu Sans"/>
                <w:b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выразительности: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D93452">
              <w:rPr>
                <w:rFonts w:ascii="Times New Roman" w:eastAsia="DejaVu Sans" w:hAnsi="Times New Roman" w:cs="DejaVu Sans"/>
                <w:spacing w:val="3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если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 слайде картинка,</w:t>
            </w:r>
            <w:r w:rsidRPr="00D93452">
              <w:rPr>
                <w:rFonts w:ascii="Times New Roman" w:eastAsia="DejaVu Sans" w:hAnsi="Times New Roman" w:cs="DejaVu Sans"/>
                <w:spacing w:val="3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текст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ширине; не</w:t>
            </w:r>
            <w:r w:rsidRPr="00D93452">
              <w:rPr>
                <w:rFonts w:ascii="Times New Roman" w:eastAsia="DejaVu Sans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допускать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«рваных» краев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движение;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только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D93452">
              <w:rPr>
                <w:rFonts w:ascii="Times New Roman" w:eastAsia="DejaVu Sans" w:hAnsi="Times New Roman" w:cs="DejaVu Sans"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Picture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Manager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, сжатие с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дизайну: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оформления;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звукового,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анимационного)</w:t>
            </w:r>
            <w:r w:rsidRPr="00D93452">
              <w:rPr>
                <w:rFonts w:ascii="Times New Roman" w:eastAsia="DejaVu Sans" w:hAnsi="Times New Roman" w:cs="DejaVu Sans"/>
                <w:spacing w:val="-3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D93452">
              <w:rPr>
                <w:rFonts w:ascii="Times New Roman" w:eastAsia="DejaVu Sans" w:hAnsi="Times New Roman" w:cs="DejaVu Sans"/>
                <w:spacing w:val="5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D93452">
              <w:rPr>
                <w:rFonts w:ascii="Times New Roman" w:eastAsia="DejaVu Sans" w:hAnsi="Times New Roman" w:cs="DejaVu Sans"/>
                <w:spacing w:val="2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D93452">
              <w:rPr>
                <w:rFonts w:ascii="Times New Roman" w:eastAsia="DejaVu Sans" w:hAnsi="Times New Roman" w:cs="DejaVu Sans"/>
                <w:spacing w:val="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слайде, но не заслонять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>ее;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одном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нейтральным);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оформлению: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D93452">
              <w:rPr>
                <w:rFonts w:ascii="Times New Roman" w:eastAsia="DejaVu Sans" w:hAnsi="Times New Roman" w:cs="DejaVu Sans"/>
                <w:spacing w:val="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D93452">
              <w:rPr>
                <w:rFonts w:ascii="Times New Roman" w:eastAsia="DejaVu Sans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восприятию материала на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титуле;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 xml:space="preserve">-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D93452">
              <w:rPr>
                <w:rFonts w:ascii="Times New Roman" w:eastAsia="Times New Roman" w:hAnsi="Times New Roman" w:cs="DejaVu Sans"/>
                <w:spacing w:val="4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D93452">
              <w:rPr>
                <w:rFonts w:ascii="Times New Roman" w:eastAsia="Times New Roman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D93452">
              <w:rPr>
                <w:rFonts w:ascii="Times New Roman" w:eastAsia="Times New Roman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об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D93452">
              <w:rPr>
                <w:rFonts w:ascii="Times New Roman" w:eastAsia="Times New Roman" w:hAnsi="Times New Roman" w:cs="DejaVu Sans"/>
                <w:spacing w:val="4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(почта,</w:t>
            </w:r>
            <w:r w:rsidRPr="00D93452">
              <w:rPr>
                <w:rFonts w:ascii="Times New Roman" w:eastAsia="Times New Roman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телефон);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D93452">
              <w:rPr>
                <w:rFonts w:ascii="Times New Roman" w:eastAsia="DejaVu Sans" w:hAnsi="Times New Roman" w:cs="DejaVu Sans"/>
                <w:spacing w:val="4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одним заархивированным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файлом;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lastRenderedPageBreak/>
              <w:t>Итого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Перечень вопросов для промежуточной аттестации (к экзамену).</w:t>
      </w: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1.    Понятие об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алалии  как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 системном нарушении речевой деятельности.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2.    Алалия. Определение.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Виды  алалии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 Классификация.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3.    Принципы и разделы обследования детей с системными нарушениями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4.    Моторная алалия. Определение, причины, механизм нарушений.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5. Сенсорная алалия. Определение, причины, характеристика структуры речевого нарушения.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6.  Дифференциальная диагностика сенсорной алалии и нарушения речи при снижении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слуха.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7.  Виды нарушений слоговой структуры слова в речи детей с моторной алалией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       (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привести  примеры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8.  Особенности нарушений звуковой структуры слова в речи детей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мотороной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9.    Особенности усвоения лексико-семантической структуры слова детьми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   Особенности нарушений морфемной структуры слова в речи детей с моторной алалией.                                                                                                                                     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11.    Характеристика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, его виды и варианты. Причины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12.    Виды морфемного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 Нарушение грамматического строя речи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 по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работе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С.Н.Шаховской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   Дифференциация моторной алалии и нарушения речи при умственной отсталости.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   Уровни нарушения связной монологической речи при моторной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   Характеристика неречевых нарушений, входящих в структуру дефекта при разных формах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   Принципы и методы обследования психологической базы речи детей, страдающих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17.    Принципы и методы логопедической работы при моторной алалии на начальном этапе работы (анализ работы Б. М. </w:t>
      </w:r>
      <w:proofErr w:type="spellStart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Гриншпуна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   Особенности логопедической работы по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формированию  морфемной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   Методика логопедической работы по формированию слоговой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20.    Формирование грамматического строя речи детей с моторной алалией. (по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работе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С.Н.Шаховской</w:t>
      </w:r>
      <w:proofErr w:type="spellEnd"/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С.Н.).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   Этапы логопедической работы с сенсорными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   Методы обследования процесса понимания речи детей с моторной алалией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 xml:space="preserve">(анализ работы </w:t>
      </w:r>
      <w:proofErr w:type="spellStart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Г.И.Жаренковой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23.    Структура логопедического занятия по формированию фразовой речи (цели, этапы, лексический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материал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   Особенности логопедической работы по формированию звукопроизношения у детей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25.    Структура коррекционной работы по развитию психологической базы речи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26.    Цели, задачи и этапы логопедической работы по формированию связной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27.    Развитие семантической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28.    Характеристика принципов логопедической работы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29.    Основные разделы перспективного плана логопедической работы с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оторными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30.    Особенности речевой работы по преодолению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импрессивного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при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разных  формах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31.    Структура перспективного плана логопедической работы с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моторными 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32.    Структура логопедического занятия по развитию речи (любого по выбору).</w:t>
      </w: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итерии </w:t>
      </w:r>
      <w:proofErr w:type="gram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оценки :</w:t>
      </w:r>
      <w:proofErr w:type="gram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21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й</w:t>
      </w:r>
      <w:r w:rsidRPr="00D93452">
        <w:rPr>
          <w:rFonts w:ascii="Times New Roman" w:eastAsia="DejaVu Sans" w:hAnsi="Times New Roman" w:cs="DejaVu Sans"/>
          <w:spacing w:val="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оц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spacing w:val="4"/>
          <w:kern w:val="1"/>
          <w:sz w:val="24"/>
          <w:szCs w:val="24"/>
          <w:lang w:eastAsia="hi-IN" w:bidi="hi-IN"/>
        </w:rPr>
        <w:t>н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2"/>
          <w:kern w:val="1"/>
          <w:sz w:val="24"/>
          <w:szCs w:val="24"/>
          <w:lang w:eastAsia="hi-IN" w:bidi="hi-IN"/>
        </w:rPr>
        <w:t>ф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ир</w:t>
      </w:r>
      <w:r w:rsidRPr="00D93452">
        <w:rPr>
          <w:rFonts w:ascii="Times New Roman" w:eastAsia="DejaVu Sans" w:hAnsi="Times New Roman" w:cs="DejaVu Sans"/>
          <w:spacing w:val="5"/>
          <w:kern w:val="1"/>
          <w:sz w:val="24"/>
          <w:szCs w:val="24"/>
          <w:lang w:eastAsia="hi-IN" w:bidi="hi-IN"/>
        </w:rPr>
        <w:t>о</w:t>
      </w:r>
      <w:r w:rsidRPr="00D93452">
        <w:rPr>
          <w:rFonts w:ascii="Times New Roman" w:eastAsia="DejaVu Sans" w:hAnsi="Times New Roman" w:cs="DejaVu Sans"/>
          <w:spacing w:val="-2"/>
          <w:kern w:val="1"/>
          <w:sz w:val="24"/>
          <w:szCs w:val="24"/>
          <w:lang w:eastAsia="hi-IN" w:bidi="hi-IN"/>
        </w:rPr>
        <w:t>в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нно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D93452" w:rsidRPr="00D93452" w:rsidTr="008446A4">
        <w:tc>
          <w:tcPr>
            <w:tcW w:w="2027" w:type="dxa"/>
            <w:vMerge w:val="restart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м</w:t>
            </w:r>
            <w:r w:rsidRPr="00D93452">
              <w:rPr>
                <w:rFonts w:ascii="Times New Roman" w:eastAsia="DejaVu Sans" w:hAnsi="Times New Roman" w:cs="DejaVu Sans"/>
                <w:i/>
                <w:spacing w:val="-4"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зу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ч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7544" w:type="dxa"/>
            <w:gridSpan w:val="4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аза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ц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я, балл</w:t>
            </w:r>
          </w:p>
        </w:tc>
      </w:tr>
      <w:tr w:rsidR="00D93452" w:rsidRPr="00D93452" w:rsidTr="008446A4">
        <w:tc>
          <w:tcPr>
            <w:tcW w:w="2027" w:type="dxa"/>
            <w:vMerge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007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з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1"/>
                <w:kern w:val="1"/>
                <w:sz w:val="24"/>
                <w:szCs w:val="24"/>
                <w:lang w:eastAsia="hi-IN" w:bidi="hi-IN"/>
              </w:rPr>
              <w:t>н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алалией.</w:t>
            </w:r>
          </w:p>
        </w:tc>
        <w:tc>
          <w:tcPr>
            <w:tcW w:w="1886" w:type="dxa"/>
          </w:tcPr>
          <w:p w:rsidR="00D93452" w:rsidRPr="00D93452" w:rsidRDefault="00D93452" w:rsidP="008446A4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Не 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но</w:t>
            </w:r>
            <w:proofErr w:type="spellEnd"/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имеет затруднения в их характеристике 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, но допускает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уметь:</w:t>
            </w:r>
            <w:r w:rsidR="008446A4"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>Не умеет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</w:t>
            </w:r>
            <w:r w:rsid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,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допускает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BE5C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владеть: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</w:t>
            </w:r>
            <w:r w:rsid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ТНР)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Обладает низким уровнем владения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навыками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основными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BE5C11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</w:tr>
    </w:tbl>
    <w:p w:rsid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8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191916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pStyle w:val="aa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технологиями презентации результатов исследовательской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деятельности, но 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технологиями презентации результатов исследовательской деятельности, но допускает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Владеет технологиями презентации результатов исследовательской деятельности</w:t>
            </w:r>
          </w:p>
        </w:tc>
      </w:tr>
    </w:tbl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Pr="00D93452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sectPr w:rsidR="00C83053" w:rsidRPr="00D9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"/>
      <w:lvlJc w:val="left"/>
      <w:pPr>
        <w:tabs>
          <w:tab w:val="num" w:pos="1012"/>
        </w:tabs>
        <w:ind w:left="1012" w:hanging="360"/>
      </w:pPr>
      <w:rPr>
        <w:rFonts w:ascii="Times New Roman" w:hAnsi="Times New Roman" w:cs="Times New Roman"/>
        <w:bCs/>
      </w:rPr>
    </w:lvl>
  </w:abstractNum>
  <w:abstractNum w:abstractNumId="3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556BB"/>
    <w:multiLevelType w:val="hybridMultilevel"/>
    <w:tmpl w:val="2D4295E0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037127AE"/>
    <w:multiLevelType w:val="hybridMultilevel"/>
    <w:tmpl w:val="F4CC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63CB"/>
    <w:multiLevelType w:val="hybridMultilevel"/>
    <w:tmpl w:val="62B4F6CE"/>
    <w:lvl w:ilvl="0" w:tplc="D7CC394C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2FB4EC9"/>
    <w:multiLevelType w:val="hybridMultilevel"/>
    <w:tmpl w:val="7F02F1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C5BDA"/>
    <w:multiLevelType w:val="hybridMultilevel"/>
    <w:tmpl w:val="EB20ED2A"/>
    <w:lvl w:ilvl="0" w:tplc="BCD4AB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B68F1"/>
    <w:multiLevelType w:val="multilevel"/>
    <w:tmpl w:val="7430CE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57A7C14"/>
    <w:multiLevelType w:val="multilevel"/>
    <w:tmpl w:val="F72A969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2" w15:restartNumberingAfterBreak="0">
    <w:nsid w:val="2E133AC1"/>
    <w:multiLevelType w:val="hybridMultilevel"/>
    <w:tmpl w:val="753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9287B"/>
    <w:multiLevelType w:val="hybridMultilevel"/>
    <w:tmpl w:val="37E6034C"/>
    <w:lvl w:ilvl="0" w:tplc="E57EC634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426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328420F6"/>
    <w:multiLevelType w:val="hybridMultilevel"/>
    <w:tmpl w:val="8BDCE31C"/>
    <w:lvl w:ilvl="0" w:tplc="42263A5C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6" w15:restartNumberingAfterBreak="0">
    <w:nsid w:val="366039CB"/>
    <w:multiLevelType w:val="hybridMultilevel"/>
    <w:tmpl w:val="BA3E9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0601"/>
    <w:multiLevelType w:val="hybridMultilevel"/>
    <w:tmpl w:val="0916FA6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C3096"/>
    <w:multiLevelType w:val="multilevel"/>
    <w:tmpl w:val="4C4676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A4017E9"/>
    <w:multiLevelType w:val="hybridMultilevel"/>
    <w:tmpl w:val="E258EB30"/>
    <w:lvl w:ilvl="0" w:tplc="48626972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A77C5"/>
    <w:multiLevelType w:val="hybridMultilevel"/>
    <w:tmpl w:val="0FDCEF76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F34606"/>
    <w:multiLevelType w:val="hybridMultilevel"/>
    <w:tmpl w:val="0B9261C0"/>
    <w:lvl w:ilvl="0" w:tplc="BCD4AB9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F965534"/>
    <w:multiLevelType w:val="hybridMultilevel"/>
    <w:tmpl w:val="553A029C"/>
    <w:lvl w:ilvl="0" w:tplc="AB2EB0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17223C7"/>
    <w:multiLevelType w:val="hybridMultilevel"/>
    <w:tmpl w:val="735049F4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E42101"/>
    <w:multiLevelType w:val="hybridMultilevel"/>
    <w:tmpl w:val="BAAE3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991E02"/>
    <w:multiLevelType w:val="hybridMultilevel"/>
    <w:tmpl w:val="E308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6D97143E"/>
    <w:multiLevelType w:val="hybridMultilevel"/>
    <w:tmpl w:val="94480638"/>
    <w:lvl w:ilvl="0" w:tplc="9D4037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85022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12"/>
  </w:num>
  <w:num w:numId="5">
    <w:abstractNumId w:val="28"/>
  </w:num>
  <w:num w:numId="6">
    <w:abstractNumId w:val="14"/>
  </w:num>
  <w:num w:numId="7">
    <w:abstractNumId w:val="19"/>
  </w:num>
  <w:num w:numId="8">
    <w:abstractNumId w:val="30"/>
  </w:num>
  <w:num w:numId="9">
    <w:abstractNumId w:val="18"/>
  </w:num>
  <w:num w:numId="10">
    <w:abstractNumId w:val="13"/>
  </w:num>
  <w:num w:numId="11">
    <w:abstractNumId w:val="3"/>
  </w:num>
  <w:num w:numId="12">
    <w:abstractNumId w:val="8"/>
  </w:num>
  <w:num w:numId="13">
    <w:abstractNumId w:val="7"/>
  </w:num>
  <w:num w:numId="14">
    <w:abstractNumId w:val="0"/>
  </w:num>
  <w:num w:numId="15">
    <w:abstractNumId w:val="25"/>
  </w:num>
  <w:num w:numId="16">
    <w:abstractNumId w:val="22"/>
  </w:num>
  <w:num w:numId="17">
    <w:abstractNumId w:val="23"/>
  </w:num>
  <w:num w:numId="18">
    <w:abstractNumId w:val="26"/>
  </w:num>
  <w:num w:numId="19">
    <w:abstractNumId w:val="5"/>
  </w:num>
  <w:num w:numId="20">
    <w:abstractNumId w:val="9"/>
  </w:num>
  <w:num w:numId="21">
    <w:abstractNumId w:val="10"/>
  </w:num>
  <w:num w:numId="22">
    <w:abstractNumId w:val="20"/>
  </w:num>
  <w:num w:numId="23">
    <w:abstractNumId w:val="27"/>
  </w:num>
  <w:num w:numId="24">
    <w:abstractNumId w:val="16"/>
  </w:num>
  <w:num w:numId="25">
    <w:abstractNumId w:val="4"/>
  </w:num>
  <w:num w:numId="26">
    <w:abstractNumId w:val="1"/>
  </w:num>
  <w:num w:numId="27">
    <w:abstractNumId w:val="15"/>
  </w:num>
  <w:num w:numId="28">
    <w:abstractNumId w:val="2"/>
  </w:num>
  <w:num w:numId="29">
    <w:abstractNumId w:val="6"/>
  </w:num>
  <w:num w:numId="30">
    <w:abstractNumId w:val="21"/>
  </w:num>
  <w:num w:numId="31">
    <w:abstractNumId w:val="2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52"/>
    <w:rsid w:val="000D7BD5"/>
    <w:rsid w:val="002D38C9"/>
    <w:rsid w:val="004915CF"/>
    <w:rsid w:val="00587BED"/>
    <w:rsid w:val="006064E2"/>
    <w:rsid w:val="0075543C"/>
    <w:rsid w:val="008446A4"/>
    <w:rsid w:val="00A40A3C"/>
    <w:rsid w:val="00BE5C11"/>
    <w:rsid w:val="00C83053"/>
    <w:rsid w:val="00D93452"/>
    <w:rsid w:val="00DD445E"/>
    <w:rsid w:val="00E56E09"/>
    <w:rsid w:val="00E62F0C"/>
    <w:rsid w:val="00F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25BA"/>
  <w15:chartTrackingRefBased/>
  <w15:docId w15:val="{6B3BF366-7BD3-42B1-89A3-EFBF50D9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D93452"/>
    <w:pPr>
      <w:suppressAutoHyphens/>
      <w:spacing w:before="280" w:after="280" w:line="240" w:lineRule="auto"/>
      <w:ind w:left="283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345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numbering" w:customStyle="1" w:styleId="11">
    <w:name w:val="Нет списка1"/>
    <w:next w:val="a3"/>
    <w:semiHidden/>
    <w:unhideWhenUsed/>
    <w:rsid w:val="00D93452"/>
  </w:style>
  <w:style w:type="paragraph" w:styleId="a0">
    <w:name w:val="Body Text"/>
    <w:basedOn w:val="a"/>
    <w:link w:val="a4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D9345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12">
    <w:name w:val="Абзац списка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13">
    <w:name w:val="Текст сноски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Default">
    <w:name w:val="Default"/>
    <w:rsid w:val="00D93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qFormat/>
    <w:rsid w:val="00D93452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customStyle="1" w:styleId="Style6">
    <w:name w:val="Style6"/>
    <w:basedOn w:val="a"/>
    <w:rsid w:val="00D93452"/>
    <w:pPr>
      <w:widowControl w:val="0"/>
      <w:suppressAutoHyphens/>
      <w:autoSpaceDE w:val="0"/>
      <w:spacing w:after="200" w:line="199" w:lineRule="exact"/>
      <w:ind w:firstLine="295"/>
    </w:pPr>
    <w:rPr>
      <w:rFonts w:ascii="Calibri" w:eastAsia="Calibri" w:hAnsi="Calibri" w:cs="Times New Roman"/>
      <w:lang w:eastAsia="zh-CN"/>
    </w:rPr>
  </w:style>
  <w:style w:type="paragraph" w:customStyle="1" w:styleId="14">
    <w:name w:val="Название объекта1"/>
    <w:basedOn w:val="a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styleId="a6">
    <w:name w:val="Hyperlink"/>
    <w:rsid w:val="00D93452"/>
    <w:rPr>
      <w:rFonts w:cs="Times New Roman"/>
      <w:color w:val="0000FF"/>
      <w:u w:val="single"/>
    </w:rPr>
  </w:style>
  <w:style w:type="character" w:styleId="a7">
    <w:name w:val="Emphasis"/>
    <w:qFormat/>
    <w:rsid w:val="00D93452"/>
    <w:rPr>
      <w:rFonts w:cs="Times New Roman"/>
      <w:i/>
      <w:iCs/>
    </w:rPr>
  </w:style>
  <w:style w:type="paragraph" w:styleId="a8">
    <w:name w:val="Normal (Web)"/>
    <w:basedOn w:val="a"/>
    <w:rsid w:val="00D9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D93452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kern w:val="1"/>
      <w:sz w:val="24"/>
      <w:szCs w:val="24"/>
    </w:rPr>
  </w:style>
  <w:style w:type="character" w:customStyle="1" w:styleId="-">
    <w:name w:val="Интернет-ссылка"/>
    <w:rsid w:val="00D93452"/>
    <w:rPr>
      <w:rFonts w:cs="Times New Roman"/>
      <w:color w:val="0000FF"/>
      <w:u w:val="single"/>
      <w:lang w:val="ru-RU" w:eastAsia="ru-RU"/>
    </w:rPr>
  </w:style>
  <w:style w:type="paragraph" w:customStyle="1" w:styleId="aa">
    <w:name w:val="Базовый"/>
    <w:rsid w:val="00D93452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2">
    <w:name w:val="Обычный (веб)2"/>
    <w:basedOn w:val="a"/>
    <w:rsid w:val="00D93452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b">
    <w:name w:val="Strong"/>
    <w:qFormat/>
    <w:rsid w:val="00D93452"/>
    <w:rPr>
      <w:b/>
      <w:bCs/>
    </w:rPr>
  </w:style>
  <w:style w:type="paragraph" w:styleId="ac">
    <w:name w:val="List Paragraph"/>
    <w:basedOn w:val="a"/>
    <w:uiPriority w:val="34"/>
    <w:qFormat/>
    <w:rsid w:val="00D93452"/>
    <w:pPr>
      <w:widowControl w:val="0"/>
      <w:suppressAutoHyphens/>
      <w:spacing w:after="0" w:line="240" w:lineRule="auto"/>
      <w:ind w:left="708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customStyle="1" w:styleId="21">
    <w:name w:val="Основной текст с отступом 21"/>
    <w:basedOn w:val="a"/>
    <w:rsid w:val="00D93452"/>
    <w:pPr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rsid w:val="00D934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">
    <w:name w:val="Основной текст с отступом 31"/>
    <w:basedOn w:val="a"/>
    <w:rsid w:val="00D93452"/>
    <w:pPr>
      <w:widowControl w:val="0"/>
      <w:suppressAutoHyphens/>
      <w:snapToGrid w:val="0"/>
      <w:spacing w:before="40" w:after="0" w:line="240" w:lineRule="auto"/>
      <w:ind w:firstLine="567"/>
      <w:jc w:val="both"/>
    </w:pPr>
    <w:rPr>
      <w:rFonts w:ascii="Arial" w:eastAsia="Times New Roman" w:hAnsi="Arial" w:cs="Times New Roman"/>
      <w:i/>
      <w:kern w:val="1"/>
      <w:sz w:val="24"/>
      <w:szCs w:val="24"/>
      <w:lang w:eastAsia="ar-SA"/>
    </w:rPr>
  </w:style>
  <w:style w:type="character" w:customStyle="1" w:styleId="apple-converted-space">
    <w:name w:val="apple-converted-space"/>
    <w:rsid w:val="00D93452"/>
  </w:style>
  <w:style w:type="paragraph" w:customStyle="1" w:styleId="def">
    <w:name w:val="def"/>
    <w:basedOn w:val="a"/>
    <w:rsid w:val="00D93452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93452"/>
    <w:pPr>
      <w:suppressAutoHyphens/>
      <w:spacing w:after="120" w:line="276" w:lineRule="auto"/>
    </w:pPr>
    <w:rPr>
      <w:rFonts w:ascii="Calibri" w:eastAsia="Calibri" w:hAnsi="Calibri" w:cs="Calibri"/>
      <w:kern w:val="1"/>
      <w:sz w:val="16"/>
      <w:szCs w:val="16"/>
      <w:lang w:eastAsia="ar-SA"/>
    </w:rPr>
  </w:style>
  <w:style w:type="character" w:customStyle="1" w:styleId="Absatz-Standardschriftart">
    <w:name w:val="Absatz-Standardschriftart"/>
    <w:rsid w:val="00D93452"/>
  </w:style>
  <w:style w:type="paragraph" w:styleId="ad">
    <w:name w:val="Body Text Indent"/>
    <w:basedOn w:val="a"/>
    <w:link w:val="ae"/>
    <w:uiPriority w:val="99"/>
    <w:semiHidden/>
    <w:unhideWhenUsed/>
    <w:rsid w:val="00D934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Заголовок Знак"/>
    <w:link w:val="af0"/>
    <w:locked/>
    <w:rsid w:val="00D93452"/>
    <w:rPr>
      <w:b/>
      <w:sz w:val="28"/>
    </w:rPr>
  </w:style>
  <w:style w:type="paragraph" w:styleId="af0">
    <w:name w:val="Title"/>
    <w:basedOn w:val="a"/>
    <w:link w:val="af"/>
    <w:qFormat/>
    <w:rsid w:val="00D93452"/>
    <w:pPr>
      <w:tabs>
        <w:tab w:val="num" w:pos="851"/>
      </w:tabs>
      <w:spacing w:after="0" w:line="240" w:lineRule="auto"/>
      <w:jc w:val="center"/>
    </w:pPr>
    <w:rPr>
      <w:b/>
      <w:sz w:val="28"/>
    </w:rPr>
  </w:style>
  <w:style w:type="character" w:customStyle="1" w:styleId="15">
    <w:name w:val="Название Знак1"/>
    <w:basedOn w:val="a1"/>
    <w:uiPriority w:val="10"/>
    <w:rsid w:val="00D9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0">
    <w:name w:val="Body Text 2"/>
    <w:basedOn w:val="a"/>
    <w:link w:val="22"/>
    <w:uiPriority w:val="99"/>
    <w:unhideWhenUsed/>
    <w:rsid w:val="00D93452"/>
    <w:pPr>
      <w:widowControl w:val="0"/>
      <w:suppressAutoHyphens/>
      <w:spacing w:after="120" w:line="480" w:lineRule="auto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22">
    <w:name w:val="Основной текст 2 Знак"/>
    <w:basedOn w:val="a1"/>
    <w:link w:val="20"/>
    <w:uiPriority w:val="99"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10603</Words>
  <Characters>60440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70902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2020-01-30T04:20:00Z</dcterms:created>
  <dcterms:modified xsi:type="dcterms:W3CDTF">2022-11-14T04:32:00Z</dcterms:modified>
</cp:coreProperties>
</file>