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Pr="00B24899" w:rsidRDefault="00B24899" w:rsidP="00B24899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МИНИСТЕРСТВО ОБРАЗОВАНИЯ И НАУКИ РОССИЙСКОЙ ФЕДЕРАЦИИ </w:t>
      </w:r>
    </w:p>
    <w:p w:rsidR="00B24899" w:rsidRPr="00B24899" w:rsidRDefault="00B24899" w:rsidP="00B24899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24899" w:rsidRPr="00B24899" w:rsidRDefault="00B24899" w:rsidP="00B24899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B24899" w:rsidRPr="00B24899" w:rsidRDefault="00B24899" w:rsidP="00B24899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>«Томский государственный педагогический университет»</w:t>
      </w:r>
    </w:p>
    <w:p w:rsidR="00B24899" w:rsidRPr="00B24899" w:rsidRDefault="00B24899" w:rsidP="00B24899">
      <w:pPr>
        <w:spacing w:after="515" w:line="274" w:lineRule="exact"/>
        <w:ind w:left="2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>(ТГПУ)</w:t>
      </w:r>
    </w:p>
    <w:p w:rsidR="00B24899" w:rsidRPr="00B24899" w:rsidRDefault="00B24899" w:rsidP="00B24899">
      <w:pPr>
        <w:spacing w:after="0" w:line="360" w:lineRule="auto"/>
        <w:ind w:hanging="38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B24899">
        <w:rPr>
          <w:rFonts w:ascii="Times New Roman" w:eastAsia="Times New Roman" w:hAnsi="Times New Roman" w:cs="Times New Roman"/>
          <w:sz w:val="23"/>
          <w:szCs w:val="23"/>
        </w:rPr>
        <w:t>Факультет психологии и специального образования</w:t>
      </w:r>
    </w:p>
    <w:p w:rsidR="00B24899" w:rsidRPr="00B24899" w:rsidRDefault="00B24899" w:rsidP="00B24899">
      <w:pPr>
        <w:spacing w:after="0" w:line="360" w:lineRule="auto"/>
        <w:ind w:left="2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sz w:val="24"/>
          <w:szCs w:val="24"/>
        </w:rPr>
        <w:t>Кафедра дефектологии</w:t>
      </w:r>
    </w:p>
    <w:p w:rsidR="00B24899" w:rsidRPr="00B24899" w:rsidRDefault="00B24899" w:rsidP="00B24899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УТВЕРЖДЕНО</w:t>
      </w:r>
    </w:p>
    <w:p w:rsidR="00B24899" w:rsidRPr="00B24899" w:rsidRDefault="00B24899" w:rsidP="00B24899">
      <w:pPr>
        <w:shd w:val="clear" w:color="auto" w:fill="FFFFFF"/>
        <w:tabs>
          <w:tab w:val="left" w:pos="2703"/>
        </w:tabs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Зав. кафедрой  дефектологии</w:t>
      </w:r>
    </w:p>
    <w:p w:rsidR="00B24899" w:rsidRPr="00B24899" w:rsidRDefault="00B24899" w:rsidP="00B24899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к.п.н</w:t>
      </w:r>
      <w:proofErr w:type="spellEnd"/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., доцент</w:t>
      </w:r>
    </w:p>
    <w:p w:rsidR="00B24899" w:rsidRPr="00B24899" w:rsidRDefault="00B24899" w:rsidP="00B24899">
      <w:pPr>
        <w:shd w:val="clear" w:color="auto" w:fill="FFFFFF"/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_____________ Н.А. Мёдова</w:t>
      </w:r>
    </w:p>
    <w:p w:rsidR="00B24899" w:rsidRPr="00B24899" w:rsidRDefault="00B24899" w:rsidP="00B24899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Принято на заседании кафедры </w:t>
      </w:r>
    </w:p>
    <w:p w:rsidR="00B24899" w:rsidRPr="00B24899" w:rsidRDefault="00B24899" w:rsidP="00B24899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дефектологии, </w:t>
      </w:r>
    </w:p>
    <w:p w:rsidR="00B24899" w:rsidRPr="00B24899" w:rsidRDefault="00B24899" w:rsidP="00B24899">
      <w:pPr>
        <w:shd w:val="clear" w:color="auto" w:fill="FFFFFF"/>
        <w:spacing w:after="0" w:line="240" w:lineRule="auto"/>
        <w:ind w:left="4536" w:firstLine="709"/>
        <w:jc w:val="center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B248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Протокол № __ от «_» ______ 20__ г.</w:t>
      </w:r>
    </w:p>
    <w:p w:rsidR="00B24899" w:rsidRPr="00B24899" w:rsidRDefault="00B24899" w:rsidP="00B24899">
      <w:pPr>
        <w:spacing w:after="0" w:line="240" w:lineRule="auto"/>
        <w:ind w:firstLine="709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B24899" w:rsidRPr="00B24899" w:rsidRDefault="00B24899" w:rsidP="00B24899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Оценочные и методические материалы для проведения </w:t>
      </w:r>
      <w:r w:rsidRPr="00B2489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текущего </w:t>
      </w:r>
    </w:p>
    <w:p w:rsidR="00B24899" w:rsidRPr="00B24899" w:rsidRDefault="00B24899" w:rsidP="00B24899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контроля успеваемости и промежуточной аттестации </w:t>
      </w:r>
      <w:proofErr w:type="gramStart"/>
      <w:r w:rsidRPr="00B2489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обучающихся</w:t>
      </w:r>
      <w:proofErr w:type="gramEnd"/>
    </w:p>
    <w:p w:rsidR="00B24899" w:rsidRPr="00B24899" w:rsidRDefault="00B24899" w:rsidP="00B24899">
      <w:pPr>
        <w:keepNext/>
        <w:keepLines/>
        <w:spacing w:after="0" w:line="240" w:lineRule="auto"/>
        <w:ind w:left="22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899" w:rsidRPr="00B24899" w:rsidRDefault="00B24899" w:rsidP="00B24899">
      <w:pPr>
        <w:tabs>
          <w:tab w:val="left" w:leader="underscore" w:pos="7519"/>
        </w:tabs>
        <w:spacing w:after="0" w:line="240" w:lineRule="auto"/>
        <w:ind w:left="1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4899" w:rsidRPr="00B24899" w:rsidRDefault="00B24899" w:rsidP="00B24899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B24899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учебной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 дисциплине</w:t>
      </w:r>
      <w:r w:rsidRPr="00B248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B24899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(модулю)</w:t>
      </w:r>
    </w:p>
    <w:p w:rsidR="00B24899" w:rsidRPr="00B24899" w:rsidRDefault="00060CA0" w:rsidP="00B24899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Основы с</w:t>
      </w:r>
      <w:r w:rsidR="00B24899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пециальн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ой педагогики и психологии</w:t>
      </w:r>
    </w:p>
    <w:p w:rsidR="00B24899" w:rsidRPr="00B24899" w:rsidRDefault="00B24899" w:rsidP="00B24899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sz w:val="24"/>
          <w:szCs w:val="24"/>
        </w:rPr>
        <w:t>реализуемой в составе образовательной программы</w:t>
      </w:r>
    </w:p>
    <w:p w:rsidR="00B24899" w:rsidRPr="00B24899" w:rsidRDefault="00B24899" w:rsidP="00B24899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sz w:val="24"/>
          <w:szCs w:val="24"/>
        </w:rPr>
        <w:t>44.03.03 специальное (дефектологическое) образование,</w:t>
      </w:r>
    </w:p>
    <w:p w:rsidR="00B24899" w:rsidRPr="00B24899" w:rsidRDefault="00B24899" w:rsidP="00B24899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sz w:val="24"/>
          <w:szCs w:val="24"/>
        </w:rPr>
        <w:t>направленность (профиль) Логопедия</w:t>
      </w:r>
    </w:p>
    <w:p w:rsidR="00B24899" w:rsidRPr="00B24899" w:rsidRDefault="00B24899" w:rsidP="00B24899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993763" w:rsidRDefault="00993763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993763" w:rsidRDefault="00993763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Pr="00B24899" w:rsidRDefault="00B24899" w:rsidP="00B24899">
      <w:pPr>
        <w:spacing w:after="203" w:line="230" w:lineRule="exact"/>
        <w:ind w:left="33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B1E1F" w:rsidRPr="00AB1E1F" w:rsidRDefault="00B24899" w:rsidP="00AB1E1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1. Назначение фонда оценочных средств.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(</w:t>
      </w:r>
      <w:r w:rsidRPr="00B24899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освоивших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) программу учебной дисциплины (модуля) </w:t>
      </w:r>
      <w:r w:rsidR="00AB1E1F" w:rsidRPr="00AB1E1F">
        <w:rPr>
          <w:rFonts w:ascii="Times New Roman" w:eastAsia="Times New Roman" w:hAnsi="Times New Roman" w:cs="Times New Roman"/>
          <w:sz w:val="24"/>
          <w:szCs w:val="24"/>
        </w:rPr>
        <w:t>Основы специальной педагогики и психологии</w:t>
      </w:r>
    </w:p>
    <w:p w:rsidR="00B24899" w:rsidRPr="00B24899" w:rsidRDefault="00B24899" w:rsidP="00AB1E1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B248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2. Фонд оценочных сре</w:t>
      </w:r>
      <w:proofErr w:type="gramStart"/>
      <w:r w:rsidRPr="00B248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дств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 вкл</w:t>
      </w:r>
      <w:proofErr w:type="gramEnd"/>
      <w:r w:rsidRPr="00B24899">
        <w:rPr>
          <w:rFonts w:ascii="Times New Roman" w:eastAsia="Times New Roman" w:hAnsi="Times New Roman" w:cs="Times New Roman"/>
          <w:sz w:val="24"/>
          <w:szCs w:val="24"/>
        </w:rPr>
        <w:t>ючает контрольные материалы для проведения текущего контроля и промежуточной аттестации в форме тестовых заданий,  докладов,  группового проекта, устного опроса, вопросов к экзамену</w:t>
      </w:r>
      <w:r w:rsidRPr="00B24899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AB1E1F" w:rsidRPr="00AB1E1F" w:rsidRDefault="00B24899" w:rsidP="00AB1E1F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>3. Структура и содержание заданий</w:t>
      </w:r>
      <w:r w:rsidRPr="00B24899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в соответствии с рабочей </w:t>
      </w:r>
      <w:r w:rsidRPr="00B24899">
        <w:rPr>
          <w:rFonts w:ascii="Times New Roman" w:eastAsia="Trebuchet MS" w:hAnsi="Times New Roman" w:cs="Times New Roman"/>
          <w:b/>
          <w:bCs/>
          <w:sz w:val="24"/>
          <w:szCs w:val="24"/>
          <w:shd w:val="clear" w:color="auto" w:fill="FFFFFF"/>
        </w:rPr>
        <w:t xml:space="preserve">программой учебной дисциплины (модуля) </w:t>
      </w:r>
      <w:bookmarkStart w:id="0" w:name="bookmark6"/>
      <w:r w:rsidR="00AB1E1F" w:rsidRPr="00AB1E1F">
        <w:rPr>
          <w:rFonts w:ascii="Times New Roman" w:eastAsia="Times New Roman" w:hAnsi="Times New Roman" w:cs="Times New Roman"/>
          <w:sz w:val="24"/>
          <w:szCs w:val="24"/>
        </w:rPr>
        <w:t>Основы специальной педагогики и психологии</w:t>
      </w:r>
    </w:p>
    <w:p w:rsidR="00B24899" w:rsidRDefault="00B24899" w:rsidP="00B24899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99">
        <w:rPr>
          <w:rFonts w:ascii="Times New Roman" w:eastAsia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  <w:bookmarkEnd w:id="0"/>
    </w:p>
    <w:p w:rsidR="00993763" w:rsidRPr="00B24899" w:rsidRDefault="00993763" w:rsidP="00B24899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4899" w:rsidRPr="00993763" w:rsidRDefault="00993763" w:rsidP="00993763">
      <w:pPr>
        <w:pStyle w:val="3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 w:rsidRPr="00993763">
        <w:rPr>
          <w:sz w:val="22"/>
          <w:szCs w:val="22"/>
        </w:rPr>
        <w:t>ОПК-1 готовностью сознавать социальную значимость своей профессии, мотивацией к осуществлению профессиональной деятельности.</w:t>
      </w:r>
    </w:p>
    <w:p w:rsidR="00993763" w:rsidRPr="00993763" w:rsidRDefault="00993763" w:rsidP="00993763">
      <w:pPr>
        <w:pStyle w:val="3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 w:rsidRPr="00993763">
        <w:rPr>
          <w:sz w:val="22"/>
          <w:szCs w:val="22"/>
        </w:rPr>
        <w:t xml:space="preserve">ОПК-4 готовностью к осуществлению </w:t>
      </w:r>
      <w:proofErr w:type="spellStart"/>
      <w:r w:rsidRPr="00993763">
        <w:rPr>
          <w:sz w:val="22"/>
          <w:szCs w:val="22"/>
        </w:rPr>
        <w:t>психологопедагогического</w:t>
      </w:r>
      <w:proofErr w:type="spellEnd"/>
      <w:r w:rsidRPr="00993763">
        <w:rPr>
          <w:sz w:val="22"/>
          <w:szCs w:val="22"/>
        </w:rPr>
        <w:t xml:space="preserve">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здоровья.</w:t>
      </w:r>
    </w:p>
    <w:p w:rsidR="00993763" w:rsidRPr="00993763" w:rsidRDefault="00993763" w:rsidP="00993763">
      <w:pPr>
        <w:pStyle w:val="3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 w:rsidRPr="00993763">
        <w:rPr>
          <w:sz w:val="22"/>
          <w:szCs w:val="22"/>
        </w:rPr>
        <w:t xml:space="preserve">ПК-1 способность к рациональному выбору и реализации </w:t>
      </w:r>
      <w:proofErr w:type="spellStart"/>
      <w:r w:rsidRPr="00993763">
        <w:rPr>
          <w:sz w:val="22"/>
          <w:szCs w:val="22"/>
        </w:rPr>
        <w:t>коррекционнообразовательных</w:t>
      </w:r>
      <w:proofErr w:type="spellEnd"/>
      <w:r w:rsidRPr="00993763">
        <w:rPr>
          <w:sz w:val="22"/>
          <w:szCs w:val="22"/>
        </w:rPr>
        <w:t xml:space="preserve"> программ на основе личностно-ориентированного и индивидуальнодифференцированного подходов к лицам с ограниченными возможностями здоровья</w:t>
      </w:r>
    </w:p>
    <w:p w:rsidR="00993763" w:rsidRPr="00993763" w:rsidRDefault="00993763" w:rsidP="00993763">
      <w:pPr>
        <w:pStyle w:val="3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 w:rsidRPr="00993763">
        <w:rPr>
          <w:sz w:val="22"/>
          <w:szCs w:val="22"/>
        </w:rPr>
        <w:t xml:space="preserve">ПК-2 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</w:t>
      </w:r>
      <w:proofErr w:type="spellStart"/>
      <w:r w:rsidRPr="00993763">
        <w:rPr>
          <w:sz w:val="22"/>
          <w:szCs w:val="22"/>
        </w:rPr>
        <w:t>коррекционно</w:t>
      </w:r>
      <w:proofErr w:type="spellEnd"/>
      <w:r w:rsidRPr="00993763">
        <w:rPr>
          <w:sz w:val="22"/>
          <w:szCs w:val="22"/>
        </w:rPr>
        <w:t xml:space="preserve"> - педагогической деятельности в организациях образования, здравоохранения и социальной защиты.</w:t>
      </w:r>
    </w:p>
    <w:p w:rsidR="00993763" w:rsidRPr="00993763" w:rsidRDefault="00993763" w:rsidP="00993763">
      <w:pPr>
        <w:pStyle w:val="3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 w:rsidRPr="00993763">
        <w:rPr>
          <w:sz w:val="22"/>
          <w:szCs w:val="22"/>
        </w:rPr>
        <w:t>ПК-3 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здоровья.</w:t>
      </w:r>
    </w:p>
    <w:p w:rsidR="00993763" w:rsidRPr="00993763" w:rsidRDefault="00993763" w:rsidP="00993763">
      <w:pPr>
        <w:pStyle w:val="3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2"/>
          <w:szCs w:val="22"/>
        </w:rPr>
      </w:pPr>
      <w:r w:rsidRPr="00993763">
        <w:rPr>
          <w:sz w:val="22"/>
          <w:szCs w:val="22"/>
        </w:rPr>
        <w:t>ПК-6 способностью осуществлять мониторинг достижения планируемых результатов образовательно-коррекционной работы.</w:t>
      </w:r>
    </w:p>
    <w:p w:rsidR="00B24899" w:rsidRPr="00993763" w:rsidRDefault="00B24899" w:rsidP="00993763">
      <w:pPr>
        <w:pStyle w:val="3"/>
        <w:shd w:val="clear" w:color="auto" w:fill="auto"/>
        <w:spacing w:line="240" w:lineRule="auto"/>
        <w:ind w:left="220" w:firstLine="0"/>
        <w:jc w:val="both"/>
        <w:rPr>
          <w:sz w:val="22"/>
          <w:szCs w:val="22"/>
        </w:rPr>
      </w:pPr>
    </w:p>
    <w:p w:rsidR="00993763" w:rsidRPr="00993763" w:rsidRDefault="00993763" w:rsidP="00993763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763">
        <w:rPr>
          <w:rFonts w:ascii="Times New Roman" w:eastAsia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B24899" w:rsidRDefault="00993763" w:rsidP="00993763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  <w:r w:rsidRPr="009301AE">
        <w:rPr>
          <w:sz w:val="24"/>
          <w:szCs w:val="24"/>
        </w:rPr>
        <w:t>Формируется в соответствии с критериями и шкалами оценивания по виду контроля</w:t>
      </w:r>
      <w:r>
        <w:rPr>
          <w:sz w:val="24"/>
          <w:szCs w:val="24"/>
        </w:rPr>
        <w:t xml:space="preserve">. </w:t>
      </w:r>
    </w:p>
    <w:p w:rsidR="00993763" w:rsidRPr="00993763" w:rsidRDefault="00993763" w:rsidP="00993763">
      <w:pPr>
        <w:numPr>
          <w:ilvl w:val="0"/>
          <w:numId w:val="3"/>
        </w:numPr>
        <w:tabs>
          <w:tab w:val="left" w:pos="1985"/>
          <w:tab w:val="left" w:leader="underscore" w:pos="7519"/>
        </w:tabs>
        <w:spacing w:after="0" w:line="278" w:lineRule="exact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993763">
        <w:rPr>
          <w:rFonts w:ascii="Times New Roman" w:eastAsia="Times New Roman" w:hAnsi="Times New Roman" w:cs="Times New Roman"/>
          <w:b/>
          <w:sz w:val="23"/>
          <w:szCs w:val="23"/>
        </w:rPr>
        <w:t>Наименование оценочных средств по контролируемым разделам дисциплины (модуля)</w:t>
      </w:r>
      <w:r w:rsidRPr="0099376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993763" w:rsidRPr="00993763" w:rsidRDefault="00993763" w:rsidP="00993763">
      <w:pPr>
        <w:tabs>
          <w:tab w:val="left" w:pos="1985"/>
          <w:tab w:val="left" w:leader="underscore" w:pos="7519"/>
        </w:tabs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3634"/>
        <w:gridCol w:w="3093"/>
        <w:gridCol w:w="2479"/>
      </w:tblGrid>
      <w:tr w:rsidR="00993763" w:rsidRPr="00993763" w:rsidTr="00EF4684">
        <w:tc>
          <w:tcPr>
            <w:tcW w:w="533" w:type="dxa"/>
            <w:vAlign w:val="center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№</w:t>
            </w:r>
          </w:p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gramStart"/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634" w:type="dxa"/>
            <w:vAlign w:val="center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Контролируемые разделы (темы) дисциплины</w:t>
            </w:r>
          </w:p>
        </w:tc>
        <w:tc>
          <w:tcPr>
            <w:tcW w:w="3093" w:type="dxa"/>
            <w:vAlign w:val="center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Код контролируемой компетенции (или ее части)</w:t>
            </w:r>
          </w:p>
        </w:tc>
        <w:tc>
          <w:tcPr>
            <w:tcW w:w="2479" w:type="dxa"/>
            <w:vAlign w:val="center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Наименование оценочного средства</w:t>
            </w:r>
          </w:p>
        </w:tc>
      </w:tr>
      <w:tr w:rsidR="00993763" w:rsidRPr="00993763" w:rsidTr="00EF4684">
        <w:tc>
          <w:tcPr>
            <w:tcW w:w="53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34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Объект, предмет, задачи, принципы, условия специальной семейной педагогики</w:t>
            </w:r>
          </w:p>
        </w:tc>
        <w:tc>
          <w:tcPr>
            <w:tcW w:w="309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63" w:rsidRPr="00993763" w:rsidRDefault="00993763" w:rsidP="00993763">
            <w:pPr>
              <w:rPr>
                <w:rFonts w:ascii="Times New Roman" w:hAnsi="Times New Roman" w:cs="Times New Roman"/>
              </w:rPr>
            </w:pPr>
            <w:r w:rsidRPr="00993763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479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93763" w:rsidRPr="00993763" w:rsidTr="00EF4684">
        <w:tc>
          <w:tcPr>
            <w:tcW w:w="53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34" w:type="dxa"/>
          </w:tcPr>
          <w:p w:rsidR="00993763" w:rsidRPr="00993763" w:rsidRDefault="00993763" w:rsidP="0099376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</w:pPr>
            <w:r w:rsidRPr="00993763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Определение и функции семьи. Роль семьи в формировании личности ребенка</w:t>
            </w:r>
          </w:p>
        </w:tc>
        <w:tc>
          <w:tcPr>
            <w:tcW w:w="309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63">
              <w:rPr>
                <w:rFonts w:ascii="Times New Roman" w:hAnsi="Times New Roman" w:cs="Times New Roman"/>
              </w:rPr>
              <w:t xml:space="preserve">ОПК-5, ОПК-6, </w:t>
            </w:r>
          </w:p>
        </w:tc>
        <w:tc>
          <w:tcPr>
            <w:tcW w:w="2479" w:type="dxa"/>
          </w:tcPr>
          <w:p w:rsidR="00993763" w:rsidRPr="00993763" w:rsidRDefault="00993763" w:rsidP="00993763">
            <w:pPr>
              <w:shd w:val="clear" w:color="auto" w:fill="FFFFFF"/>
              <w:tabs>
                <w:tab w:val="left" w:pos="1985"/>
                <w:tab w:val="left" w:leader="underscore" w:pos="7519"/>
              </w:tabs>
              <w:ind w:hanging="38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экзамен</w:t>
            </w:r>
          </w:p>
        </w:tc>
      </w:tr>
      <w:tr w:rsidR="00993763" w:rsidRPr="00993763" w:rsidTr="00EF4684">
        <w:tc>
          <w:tcPr>
            <w:tcW w:w="53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34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Особенности детско-родительских отношений в семьях, где есть дети с нарушениями в развитии</w:t>
            </w:r>
          </w:p>
        </w:tc>
        <w:tc>
          <w:tcPr>
            <w:tcW w:w="309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hAnsi="Times New Roman" w:cs="Times New Roman"/>
              </w:rPr>
              <w:t>ОПК-5, ОПК-6, ОПК-7, ПК-3</w:t>
            </w:r>
          </w:p>
        </w:tc>
        <w:tc>
          <w:tcPr>
            <w:tcW w:w="2479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93763" w:rsidRPr="00993763" w:rsidTr="00EF4684">
        <w:tc>
          <w:tcPr>
            <w:tcW w:w="53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34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Особенности психологического климата в семьях, воспитывающих детей с нарушениями в развитии</w:t>
            </w:r>
          </w:p>
        </w:tc>
        <w:tc>
          <w:tcPr>
            <w:tcW w:w="309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ОПК-5, ОПК-6, ОПК-7, ПК-3</w:t>
            </w:r>
          </w:p>
        </w:tc>
        <w:tc>
          <w:tcPr>
            <w:tcW w:w="2479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763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93763" w:rsidRPr="00993763" w:rsidTr="00EF4684">
        <w:tc>
          <w:tcPr>
            <w:tcW w:w="53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634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Система психолого-</w:t>
            </w:r>
            <w:r w:rsidRPr="009937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педагогической помощи семьям, воспитывающим детей с нарушениями в развитии</w:t>
            </w:r>
          </w:p>
        </w:tc>
        <w:tc>
          <w:tcPr>
            <w:tcW w:w="3093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9937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 xml:space="preserve">ОПК-5, ОПК-6, ОПК-7, </w:t>
            </w:r>
            <w:r w:rsidRPr="009937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ПК-3</w:t>
            </w:r>
          </w:p>
        </w:tc>
        <w:tc>
          <w:tcPr>
            <w:tcW w:w="2479" w:type="dxa"/>
          </w:tcPr>
          <w:p w:rsidR="00993763" w:rsidRPr="00993763" w:rsidRDefault="00993763" w:rsidP="00993763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7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экзамен</w:t>
            </w:r>
          </w:p>
        </w:tc>
      </w:tr>
    </w:tbl>
    <w:p w:rsidR="00993763" w:rsidRDefault="00993763" w:rsidP="00993763">
      <w:pPr>
        <w:pStyle w:val="3"/>
        <w:shd w:val="clear" w:color="auto" w:fill="auto"/>
        <w:spacing w:line="360" w:lineRule="auto"/>
        <w:ind w:left="220" w:firstLine="0"/>
        <w:jc w:val="both"/>
        <w:rPr>
          <w:sz w:val="24"/>
          <w:szCs w:val="24"/>
        </w:rPr>
      </w:pPr>
    </w:p>
    <w:p w:rsidR="00B24899" w:rsidRDefault="004D79BE" w:rsidP="004D79BE">
      <w:pPr>
        <w:pStyle w:val="3"/>
        <w:numPr>
          <w:ilvl w:val="0"/>
          <w:numId w:val="2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Вопросы к экзамену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bookmarkStart w:id="1" w:name="_GoBack"/>
      <w:bookmarkEnd w:id="1"/>
      <w:r w:rsidRPr="00C0077B">
        <w:rPr>
          <w:sz w:val="24"/>
          <w:szCs w:val="24"/>
        </w:rPr>
        <w:t xml:space="preserve">Специальная педагогика как раздел, изучающий различные формы и стороны обучения и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развития в неблагоприятных условиях.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2. Предмет коррекционной педагогики.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3. </w:t>
      </w:r>
      <w:proofErr w:type="gramStart"/>
      <w:r w:rsidRPr="00C0077B">
        <w:rPr>
          <w:sz w:val="24"/>
          <w:szCs w:val="24"/>
        </w:rPr>
        <w:t xml:space="preserve">Теоретические и прикладные задачи в специальной педагогики. </w:t>
      </w:r>
      <w:proofErr w:type="gramEnd"/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4. Общие методологические и конкретно-методические принципы и методы специальной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педагогики. Место специальной педагогики в системе смежных дисциплин.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5. Особенности обучения детей с нарушениями в развитии.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6. Понятие о </w:t>
      </w:r>
      <w:proofErr w:type="spellStart"/>
      <w:r w:rsidRPr="00C0077B">
        <w:rPr>
          <w:sz w:val="24"/>
          <w:szCs w:val="24"/>
        </w:rPr>
        <w:t>среднестатистичской</w:t>
      </w:r>
      <w:proofErr w:type="spellEnd"/>
      <w:r w:rsidRPr="00C0077B">
        <w:rPr>
          <w:sz w:val="24"/>
          <w:szCs w:val="24"/>
        </w:rPr>
        <w:t xml:space="preserve"> нормы развития.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7. Функциональная норма как стратегия помощи детям с нарушениями в развитии.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8. Понятие фактора отклоняющего развития. Биологические и социальные причины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возникновения нарушений в развитии.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9. </w:t>
      </w:r>
      <w:proofErr w:type="gramStart"/>
      <w:r w:rsidRPr="00C0077B">
        <w:rPr>
          <w:sz w:val="24"/>
          <w:szCs w:val="24"/>
        </w:rPr>
        <w:t xml:space="preserve">Понятие «аномальный ребенок», «дети с особыми нуждами», «дети с ограниченными </w:t>
      </w:r>
      <w:proofErr w:type="gramEnd"/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возможностями здоровья», «дети с нарушениями в развитии».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10. Понятие аномального развития (</w:t>
      </w:r>
      <w:proofErr w:type="spellStart"/>
      <w:r w:rsidRPr="00C0077B">
        <w:rPr>
          <w:sz w:val="24"/>
          <w:szCs w:val="24"/>
        </w:rPr>
        <w:t>дизонтогенез</w:t>
      </w:r>
      <w:proofErr w:type="spellEnd"/>
      <w:r w:rsidRPr="00C0077B">
        <w:rPr>
          <w:sz w:val="24"/>
          <w:szCs w:val="24"/>
        </w:rPr>
        <w:t xml:space="preserve">). Психологические параметры </w:t>
      </w:r>
      <w:proofErr w:type="spellStart"/>
      <w:r w:rsidRPr="00C0077B">
        <w:rPr>
          <w:sz w:val="24"/>
          <w:szCs w:val="24"/>
        </w:rPr>
        <w:t>дизонтогенеза</w:t>
      </w:r>
      <w:proofErr w:type="spellEnd"/>
      <w:r w:rsidRPr="00C0077B">
        <w:rPr>
          <w:sz w:val="24"/>
          <w:szCs w:val="24"/>
        </w:rPr>
        <w:t xml:space="preserve">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11. Типы нарушений психического развития: недоразвитие, задержанное развитие,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поврежденное развитие, </w:t>
      </w:r>
      <w:proofErr w:type="spellStart"/>
      <w:r w:rsidRPr="00C0077B">
        <w:rPr>
          <w:sz w:val="24"/>
          <w:szCs w:val="24"/>
        </w:rPr>
        <w:t>дефицитарное</w:t>
      </w:r>
      <w:proofErr w:type="spellEnd"/>
      <w:r w:rsidRPr="00C0077B">
        <w:rPr>
          <w:sz w:val="24"/>
          <w:szCs w:val="24"/>
        </w:rPr>
        <w:t xml:space="preserve"> развитие, искаженное развитие, дисгармоничное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развитие.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12. Дефект и компенсация. Теория компенсации Выготского Л.С. о дефекте и компенсации.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Внутрисистемная и межсистемная компенсация.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13. Понятие «дефект», «структура дефекта», «органические и функциональные нарушения»,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«коррекция», «компенсация», «социализация» и «интеграция».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14. Особенности и виды отклоняющего развития. Понятие отклоняющегося развития.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15. Положение Л.С. Выготского о структурно-динамическом изучении </w:t>
      </w:r>
      <w:proofErr w:type="gramStart"/>
      <w:r w:rsidRPr="00C0077B">
        <w:rPr>
          <w:sz w:val="24"/>
          <w:szCs w:val="24"/>
        </w:rPr>
        <w:t>отклоняющегося</w:t>
      </w:r>
      <w:proofErr w:type="gramEnd"/>
      <w:r w:rsidRPr="00C0077B">
        <w:rPr>
          <w:sz w:val="24"/>
          <w:szCs w:val="24"/>
        </w:rPr>
        <w:t xml:space="preserve">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развития. Общие и специфические закономерности отклоняющегося развития.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16. Основные параметры, определяющий характер нарушений в развитии.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17. Международная классификация психических и поведенческих расстройств 11-го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пересмотра. Современные отечественные классификации </w:t>
      </w:r>
      <w:proofErr w:type="spellStart"/>
      <w:r w:rsidRPr="00C0077B">
        <w:rPr>
          <w:sz w:val="24"/>
          <w:szCs w:val="24"/>
        </w:rPr>
        <w:t>дизонтогенеза</w:t>
      </w:r>
      <w:proofErr w:type="spellEnd"/>
      <w:r w:rsidRPr="00C0077B">
        <w:rPr>
          <w:sz w:val="24"/>
          <w:szCs w:val="24"/>
        </w:rPr>
        <w:t xml:space="preserve"> В.В. Ковалева, В.В. 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Лебединского, М.М. Семаго.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>18. Обучение детей с нарушениями зрения. Предмет и задачи тифлопедагогики.</w:t>
      </w:r>
    </w:p>
    <w:p w:rsidR="00C0077B" w:rsidRPr="00C0077B" w:rsidRDefault="00C0077B" w:rsidP="00C0077B">
      <w:pPr>
        <w:pStyle w:val="3"/>
        <w:spacing w:line="360" w:lineRule="auto"/>
        <w:ind w:left="220"/>
        <w:jc w:val="both"/>
        <w:rPr>
          <w:sz w:val="24"/>
          <w:szCs w:val="24"/>
        </w:rPr>
      </w:pPr>
      <w:r w:rsidRPr="00C0077B">
        <w:rPr>
          <w:sz w:val="24"/>
          <w:szCs w:val="24"/>
        </w:rPr>
        <w:t xml:space="preserve">19. Обучение детей с нарушениями опорно-двигательного аппарата </w:t>
      </w:r>
    </w:p>
    <w:p w:rsidR="00B24899" w:rsidRDefault="00C0077B" w:rsidP="00C0077B">
      <w:pPr>
        <w:pStyle w:val="3"/>
        <w:shd w:val="clear" w:color="auto" w:fill="auto"/>
        <w:spacing w:line="360" w:lineRule="auto"/>
        <w:ind w:left="220" w:firstLine="0"/>
        <w:jc w:val="both"/>
        <w:rPr>
          <w:sz w:val="24"/>
          <w:szCs w:val="24"/>
        </w:rPr>
      </w:pPr>
      <w:r w:rsidRPr="00C0077B">
        <w:rPr>
          <w:sz w:val="24"/>
          <w:szCs w:val="24"/>
        </w:rPr>
        <w:lastRenderedPageBreak/>
        <w:t>20. Виды нарушений опорно-двигательного аппарата. Общая характеристика ДЦП</w:t>
      </w:r>
    </w:p>
    <w:p w:rsidR="00B24899" w:rsidRPr="00C71B93" w:rsidRDefault="00B24899" w:rsidP="00B24899">
      <w:pPr>
        <w:pStyle w:val="a4"/>
        <w:numPr>
          <w:ilvl w:val="0"/>
          <w:numId w:val="1"/>
        </w:numPr>
        <w:tabs>
          <w:tab w:val="left" w:leader="underscore" w:pos="7059"/>
        </w:tabs>
        <w:spacing w:after="0" w:line="360" w:lineRule="auto"/>
        <w:ind w:right="-227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B93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ответа на экзамене: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39"/>
      </w:tblGrid>
      <w:tr w:rsidR="00B24899" w:rsidRPr="00362ADF" w:rsidTr="00EF4684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after="0" w:line="274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Описание критериев оценки</w:t>
            </w:r>
          </w:p>
        </w:tc>
      </w:tr>
      <w:tr w:rsidR="00B24899" w:rsidRPr="00362ADF" w:rsidTr="00EF4684">
        <w:trPr>
          <w:trHeight w:val="21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spellStart"/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тлично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      </w:r>
          </w:p>
        </w:tc>
      </w:tr>
      <w:tr w:rsidR="00B24899" w:rsidRPr="00362ADF" w:rsidTr="00EF4684">
        <w:trPr>
          <w:trHeight w:val="1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Хорошо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одна-две неточности в ответе. </w:t>
            </w:r>
          </w:p>
        </w:tc>
      </w:tr>
      <w:tr w:rsidR="00B24899" w:rsidRPr="00362ADF" w:rsidTr="00EF4684">
        <w:trPr>
          <w:trHeight w:val="26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Удовлетворительно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      </w:r>
          </w:p>
        </w:tc>
      </w:tr>
      <w:tr w:rsidR="00B24899" w:rsidRPr="00362ADF" w:rsidTr="00EF4684">
        <w:trPr>
          <w:trHeight w:val="2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spellStart"/>
            <w:r w:rsidRPr="00362A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еудовлетворительно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899" w:rsidRPr="00362ADF" w:rsidRDefault="00B24899" w:rsidP="00EF4684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      </w:r>
          </w:p>
        </w:tc>
      </w:tr>
    </w:tbl>
    <w:p w:rsidR="00B24899" w:rsidRPr="00362ADF" w:rsidRDefault="00B24899" w:rsidP="00B24899">
      <w:pPr>
        <w:tabs>
          <w:tab w:val="left" w:leader="underscore" w:pos="7059"/>
        </w:tabs>
        <w:spacing w:after="0" w:line="360" w:lineRule="auto"/>
        <w:ind w:right="-2274"/>
        <w:rPr>
          <w:rFonts w:ascii="Times New Roman" w:eastAsia="Times New Roman" w:hAnsi="Times New Roman" w:cs="Times New Roman"/>
          <w:sz w:val="16"/>
          <w:szCs w:val="16"/>
          <w:lang w:val="ru"/>
        </w:rPr>
      </w:pPr>
    </w:p>
    <w:p w:rsidR="00B24899" w:rsidRPr="00362ADF" w:rsidRDefault="00B24899" w:rsidP="00B248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О</w:t>
      </w:r>
      <w:r w:rsidRPr="00362ADF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ценочные и методические материалы учебной дисциплины</w:t>
      </w:r>
      <w:r w:rsidRPr="00362ADF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r w:rsidRPr="00362ADF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(модуля) составил: </w:t>
      </w:r>
      <w:r w:rsidRPr="00362A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Шляпников С.Е. старший преподаватель кафедры дефектологии</w:t>
      </w: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both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both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B24899" w:rsidRDefault="00B24899" w:rsidP="00B24899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84E98" w:rsidRDefault="00F84E98"/>
    <w:sectPr w:rsidR="00F8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CC4"/>
    <w:multiLevelType w:val="hybridMultilevel"/>
    <w:tmpl w:val="E95E4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228DD"/>
    <w:multiLevelType w:val="hybridMultilevel"/>
    <w:tmpl w:val="5E94C9B4"/>
    <w:lvl w:ilvl="0" w:tplc="6FA810DE">
      <w:start w:val="8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>
    <w:nsid w:val="1E530541"/>
    <w:multiLevelType w:val="hybridMultilevel"/>
    <w:tmpl w:val="7B1EA20A"/>
    <w:lvl w:ilvl="0" w:tplc="4BC2CCD8">
      <w:start w:val="1"/>
      <w:numFmt w:val="decimal"/>
      <w:lvlText w:val="%1."/>
      <w:lvlJc w:val="left"/>
      <w:pPr>
        <w:ind w:left="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F79F5"/>
    <w:multiLevelType w:val="hybridMultilevel"/>
    <w:tmpl w:val="FA1E10F2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>
    <w:nsid w:val="55C949E4"/>
    <w:multiLevelType w:val="hybridMultilevel"/>
    <w:tmpl w:val="0596BD1C"/>
    <w:lvl w:ilvl="0" w:tplc="4BC2CCD8">
      <w:start w:val="1"/>
      <w:numFmt w:val="decimal"/>
      <w:lvlText w:val="%1."/>
      <w:lvlJc w:val="left"/>
      <w:pPr>
        <w:ind w:left="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0" w:hanging="360"/>
      </w:pPr>
    </w:lvl>
    <w:lvl w:ilvl="2" w:tplc="0419001B" w:tentative="1">
      <w:start w:val="1"/>
      <w:numFmt w:val="lowerRoman"/>
      <w:lvlText w:val="%3."/>
      <w:lvlJc w:val="right"/>
      <w:pPr>
        <w:ind w:left="1640" w:hanging="180"/>
      </w:pPr>
    </w:lvl>
    <w:lvl w:ilvl="3" w:tplc="0419000F" w:tentative="1">
      <w:start w:val="1"/>
      <w:numFmt w:val="decimal"/>
      <w:lvlText w:val="%4."/>
      <w:lvlJc w:val="left"/>
      <w:pPr>
        <w:ind w:left="2360" w:hanging="360"/>
      </w:pPr>
    </w:lvl>
    <w:lvl w:ilvl="4" w:tplc="04190019" w:tentative="1">
      <w:start w:val="1"/>
      <w:numFmt w:val="lowerLetter"/>
      <w:lvlText w:val="%5."/>
      <w:lvlJc w:val="left"/>
      <w:pPr>
        <w:ind w:left="3080" w:hanging="360"/>
      </w:pPr>
    </w:lvl>
    <w:lvl w:ilvl="5" w:tplc="0419001B" w:tentative="1">
      <w:start w:val="1"/>
      <w:numFmt w:val="lowerRoman"/>
      <w:lvlText w:val="%6."/>
      <w:lvlJc w:val="right"/>
      <w:pPr>
        <w:ind w:left="3800" w:hanging="180"/>
      </w:pPr>
    </w:lvl>
    <w:lvl w:ilvl="6" w:tplc="0419000F" w:tentative="1">
      <w:start w:val="1"/>
      <w:numFmt w:val="decimal"/>
      <w:lvlText w:val="%7."/>
      <w:lvlJc w:val="left"/>
      <w:pPr>
        <w:ind w:left="4520" w:hanging="360"/>
      </w:pPr>
    </w:lvl>
    <w:lvl w:ilvl="7" w:tplc="04190019" w:tentative="1">
      <w:start w:val="1"/>
      <w:numFmt w:val="lowerLetter"/>
      <w:lvlText w:val="%8."/>
      <w:lvlJc w:val="left"/>
      <w:pPr>
        <w:ind w:left="5240" w:hanging="360"/>
      </w:pPr>
    </w:lvl>
    <w:lvl w:ilvl="8" w:tplc="0419001B" w:tentative="1">
      <w:start w:val="1"/>
      <w:numFmt w:val="lowerRoman"/>
      <w:lvlText w:val="%9."/>
      <w:lvlJc w:val="right"/>
      <w:pPr>
        <w:ind w:left="59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F3"/>
    <w:rsid w:val="00060CA0"/>
    <w:rsid w:val="004D79BE"/>
    <w:rsid w:val="00732216"/>
    <w:rsid w:val="00734479"/>
    <w:rsid w:val="00993763"/>
    <w:rsid w:val="00A208F3"/>
    <w:rsid w:val="00AB1E1F"/>
    <w:rsid w:val="00B24899"/>
    <w:rsid w:val="00C0077B"/>
    <w:rsid w:val="00F8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248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B24899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B24899"/>
    <w:pPr>
      <w:ind w:left="720"/>
      <w:contextualSpacing/>
    </w:pPr>
  </w:style>
  <w:style w:type="table" w:styleId="a5">
    <w:name w:val="Table Grid"/>
    <w:basedOn w:val="a1"/>
    <w:uiPriority w:val="59"/>
    <w:rsid w:val="0099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248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B24899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B24899"/>
    <w:pPr>
      <w:ind w:left="720"/>
      <w:contextualSpacing/>
    </w:pPr>
  </w:style>
  <w:style w:type="table" w:styleId="a5">
    <w:name w:val="Table Grid"/>
    <w:basedOn w:val="a1"/>
    <w:uiPriority w:val="59"/>
    <w:rsid w:val="0099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2024-07-22T15:07:00Z</dcterms:created>
  <dcterms:modified xsi:type="dcterms:W3CDTF">2024-07-23T13:34:00Z</dcterms:modified>
</cp:coreProperties>
</file>