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ED" w:rsidRPr="00587BED" w:rsidRDefault="00587BED" w:rsidP="00587BED">
      <w:pPr>
        <w:shd w:val="clear" w:color="auto" w:fill="FFFFFF"/>
        <w:spacing w:after="0" w:line="240" w:lineRule="auto"/>
        <w:ind w:hanging="379"/>
        <w:jc w:val="center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МИНИСТЕРСТВО НАУКИ.'И ВЫСШЕГО ОБРАЗОВАНИЯ РОССИЙСКОЙ ФЕДЕРАЦИИ</w:t>
      </w:r>
    </w:p>
    <w:p w:rsidR="00587BED" w:rsidRPr="00587BED" w:rsidRDefault="00587BED" w:rsidP="00587BED">
      <w:pPr>
        <w:shd w:val="clear" w:color="auto" w:fill="FFFFFF"/>
        <w:spacing w:after="0" w:line="240" w:lineRule="auto"/>
        <w:ind w:hanging="3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Федеральное государственное бюджетное образовательное учреждение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Высшего образования 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«Томский государственный педагогический университет»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</w:pPr>
      <w:r w:rsidRPr="00587BED">
        <w:rPr>
          <w:rFonts w:ascii="Times New Roman" w:eastAsia="Calibri" w:hAnsi="Times New Roman" w:cs="Times New Roman"/>
          <w:bCs/>
          <w:color w:val="000000"/>
          <w:spacing w:val="-11"/>
          <w:sz w:val="24"/>
          <w:szCs w:val="24"/>
        </w:rPr>
        <w:t>(</w:t>
      </w:r>
      <w:r w:rsidRPr="00587BED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  <w:t>ТГПУ)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Calibri" w:hAnsi="Times New Roman" w:cs="Times New Roman"/>
          <w:sz w:val="24"/>
          <w:szCs w:val="24"/>
        </w:rPr>
        <w:t>Институт педагогики и психологии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Факультет психолого-педагогического и специального образования</w:t>
      </w:r>
    </w:p>
    <w:p w:rsidR="00587BED" w:rsidRPr="00587BED" w:rsidRDefault="00587BED" w:rsidP="00587BED">
      <w:pPr>
        <w:widowControl w:val="0"/>
        <w:numPr>
          <w:ilvl w:val="0"/>
          <w:numId w:val="32"/>
        </w:numPr>
        <w:shd w:val="clear" w:color="auto" w:fill="FFFFFF"/>
        <w:tabs>
          <w:tab w:val="left" w:pos="2703"/>
          <w:tab w:val="left" w:pos="4901"/>
        </w:tabs>
        <w:suppressAutoHyphens/>
        <w:spacing w:after="0" w:line="240" w:lineRule="auto"/>
        <w:jc w:val="right"/>
        <w:rPr>
          <w:rFonts w:ascii="Calibri" w:eastAsia="Calibri" w:hAnsi="Calibri" w:cs="Times New Roman"/>
          <w:color w:val="000000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и оценочные материалы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текущего </w:t>
      </w:r>
      <w:r w:rsidRPr="00587BED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контроля и промежуточной аттестации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  <w:t>по дисциплине</w:t>
      </w:r>
      <w:r w:rsidRPr="00587BED">
        <w:rPr>
          <w:rFonts w:ascii="Times New Roman" w:eastAsia="Times New Roman" w:hAnsi="Times New Roman" w:cs="Times New Roman"/>
          <w:b/>
          <w:i/>
          <w:iCs/>
          <w:color w:val="000000"/>
          <w:spacing w:val="-14"/>
          <w:sz w:val="24"/>
          <w:szCs w:val="24"/>
        </w:rPr>
        <w:t xml:space="preserve"> </w:t>
      </w:r>
      <w:r w:rsidRPr="00587BED">
        <w:rPr>
          <w:rFonts w:ascii="Times New Roman" w:eastAsia="Times New Roman" w:hAnsi="Times New Roman" w:cs="Times New Roman"/>
          <w:b/>
          <w:iCs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iCs/>
          <w:color w:val="000000"/>
          <w:spacing w:val="-14"/>
          <w:sz w:val="24"/>
          <w:szCs w:val="24"/>
        </w:rPr>
        <w:t>Алалия</w:t>
      </w:r>
      <w:r w:rsidRPr="00587BE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» </w:t>
      </w: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реализуемой в составе образовательной программы </w:t>
      </w: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587BED">
        <w:rPr>
          <w:rFonts w:ascii="Times New Roman" w:eastAsia="Calibri" w:hAnsi="Times New Roman" w:cs="Times New Roman"/>
          <w:b/>
          <w:sz w:val="24"/>
          <w:szCs w:val="24"/>
        </w:rPr>
        <w:t>44.03.03</w:t>
      </w:r>
      <w:r w:rsidRPr="00587BED">
        <w:rPr>
          <w:rFonts w:ascii="Times New Roman" w:eastAsia="Calibri" w:hAnsi="Times New Roman" w:cs="Times New Roman"/>
          <w:color w:val="444444"/>
          <w:sz w:val="24"/>
          <w:szCs w:val="24"/>
        </w:rPr>
        <w:t xml:space="preserve"> </w:t>
      </w:r>
      <w:r w:rsidRPr="00587B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BED">
        <w:rPr>
          <w:rFonts w:ascii="Times New Roman" w:eastAsia="Calibri" w:hAnsi="Times New Roman" w:cs="Times New Roman"/>
          <w:b/>
          <w:sz w:val="24"/>
          <w:szCs w:val="24"/>
        </w:rPr>
        <w:t>Специальное</w:t>
      </w:r>
      <w:proofErr w:type="gramEnd"/>
      <w:r w:rsidRPr="00587BED">
        <w:rPr>
          <w:rFonts w:ascii="Times New Roman" w:eastAsia="Calibri" w:hAnsi="Times New Roman" w:cs="Times New Roman"/>
          <w:b/>
          <w:sz w:val="24"/>
          <w:szCs w:val="24"/>
        </w:rPr>
        <w:t xml:space="preserve"> (дефектологическое) образование</w:t>
      </w:r>
    </w:p>
    <w:p w:rsidR="00587BED" w:rsidRPr="00587BED" w:rsidRDefault="00587BED" w:rsidP="00587BED">
      <w:pPr>
        <w:shd w:val="clear" w:color="auto" w:fill="FFFFFF"/>
        <w:tabs>
          <w:tab w:val="left" w:pos="5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направленность (профиль) «Логопедия»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Calibri" w:hAnsi="Times New Roman" w:cs="Times New Roman"/>
          <w:sz w:val="24"/>
          <w:szCs w:val="24"/>
        </w:rPr>
        <w:t>Томск</w:t>
      </w: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:rsidR="00587BED" w:rsidRPr="00587BED" w:rsidRDefault="00587BED" w:rsidP="00587BED">
      <w:pPr>
        <w:spacing w:line="256" w:lineRule="auto"/>
        <w:rPr>
          <w:rFonts w:ascii="Calibri" w:eastAsia="Calibri" w:hAnsi="Calibri" w:cs="Times New Roman"/>
        </w:rPr>
      </w:pPr>
    </w:p>
    <w:p w:rsidR="00587BED" w:rsidRDefault="00587BED">
      <w:pPr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br w:type="page"/>
      </w:r>
    </w:p>
    <w:p w:rsidR="00D93452" w:rsidRPr="00D93452" w:rsidRDefault="00D93452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lastRenderedPageBreak/>
        <w:t>Пояснительная записка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  <w:t>Назначение о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ценочных и методических материалов</w:t>
      </w:r>
      <w:r w:rsidRPr="00D93452"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.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D93452"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 w:rsidRPr="00D93452"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Алалия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включают контрольные материалы для проведения текущего контроля и промежуточной аттестации в форме тестовых заданий, рефератов, докладов</w:t>
      </w:r>
      <w:r w:rsidR="0075543C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, экзамен</w:t>
      </w:r>
      <w:r w:rsidR="002D38C9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а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«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Алалия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D93452" w:rsidRDefault="00D93452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 w:rsidRPr="00D9345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eastAsia="hi-IN" w:bidi="hi-IN"/>
        </w:rPr>
        <w:t>профессиональные компетенции (ПК</w:t>
      </w:r>
      <w:proofErr w:type="gramStart"/>
      <w:r w:rsidRPr="00D9345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eastAsia="hi-IN" w:bidi="hi-IN"/>
        </w:rPr>
        <w:t>):</w:t>
      </w:r>
      <w:r w:rsidRPr="00D93452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:</w:t>
      </w:r>
      <w:proofErr w:type="gramEnd"/>
    </w:p>
    <w:p w:rsidR="000D7BD5" w:rsidRDefault="000D7BD5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0D7BD5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</w:r>
    </w:p>
    <w:p w:rsidR="000D7BD5" w:rsidRPr="00D93452" w:rsidRDefault="000D7BD5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0D7BD5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ПК- 2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D93452" w:rsidRP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Оценочные и методические материалы </w:t>
      </w:r>
    </w:p>
    <w:p w:rsid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 дисциплине «Алалия»</w:t>
      </w:r>
    </w:p>
    <w:p w:rsidR="0025703E" w:rsidRDefault="0025703E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5703E" w:rsidRDefault="0025703E" w:rsidP="0025703E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5703E" w:rsidRDefault="0025703E" w:rsidP="0025703E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4610"/>
        <w:gridCol w:w="2534"/>
        <w:gridCol w:w="1911"/>
      </w:tblGrid>
      <w:tr w:rsidR="0025703E" w:rsidTr="0025703E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25703E" w:rsidRDefault="0025703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(темы) дисциплины*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25703E" w:rsidTr="0025703E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E" w:rsidRDefault="0025703E" w:rsidP="0025703E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E" w:rsidRDefault="0025703E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1</w:t>
            </w:r>
          </w:p>
          <w:p w:rsidR="0025703E" w:rsidRDefault="0025703E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Методологическое и методическое значение курса</w:t>
            </w:r>
          </w:p>
          <w:p w:rsidR="0025703E" w:rsidRDefault="0025703E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 xml:space="preserve">ПК-1, ПК-2,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Экзамен, тест</w:t>
            </w:r>
          </w:p>
        </w:tc>
      </w:tr>
      <w:tr w:rsidR="0025703E" w:rsidTr="0025703E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E" w:rsidRDefault="0025703E" w:rsidP="0025703E">
            <w:pPr>
              <w:widowControl w:val="0"/>
              <w:numPr>
                <w:ilvl w:val="0"/>
                <w:numId w:val="33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Раздел 2 </w:t>
            </w:r>
          </w:p>
          <w:p w:rsidR="0025703E" w:rsidRDefault="0025703E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Современные классификации алалии и характеристика основных форм.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 xml:space="preserve">ПК-1, ПК-2,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Экзамен, тест, доклад</w:t>
            </w:r>
          </w:p>
        </w:tc>
      </w:tr>
      <w:tr w:rsidR="0025703E" w:rsidTr="0025703E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E" w:rsidRDefault="0025703E" w:rsidP="0025703E">
            <w:pPr>
              <w:widowControl w:val="0"/>
              <w:numPr>
                <w:ilvl w:val="0"/>
                <w:numId w:val="33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E" w:rsidRDefault="0025703E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3</w:t>
            </w:r>
          </w:p>
          <w:p w:rsidR="0025703E" w:rsidRDefault="0025703E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 xml:space="preserve">Дифференциальная диагностика алалии и </w:t>
            </w:r>
            <w:proofErr w:type="gramStart"/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других  форм</w:t>
            </w:r>
            <w:proofErr w:type="gramEnd"/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 xml:space="preserve"> нарушений речи.</w:t>
            </w:r>
          </w:p>
          <w:p w:rsidR="0025703E" w:rsidRDefault="0025703E">
            <w:pPr>
              <w:widowControl w:val="0"/>
              <w:shd w:val="clear" w:color="auto" w:fill="FFFFFF"/>
              <w:tabs>
                <w:tab w:val="left" w:pos="29"/>
              </w:tabs>
              <w:suppressAutoHyphens/>
              <w:spacing w:after="0" w:line="240" w:lineRule="auto"/>
              <w:ind w:left="29"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  <w:tr w:rsidR="0025703E" w:rsidTr="0025703E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426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4</w:t>
            </w:r>
          </w:p>
          <w:p w:rsidR="0025703E" w:rsidRDefault="0025703E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Моторная алалия. Причины, механизм, симптоматика.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  <w:tr w:rsidR="0025703E" w:rsidTr="0025703E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426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5</w:t>
            </w:r>
          </w:p>
          <w:p w:rsidR="0025703E" w:rsidRDefault="0025703E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Сенсорная алалия. Причины, механизм, симптоматика..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3E" w:rsidRDefault="002570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</w:tbl>
    <w:p w:rsidR="0025703E" w:rsidRDefault="0025703E" w:rsidP="0025703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25703E" w:rsidRDefault="0025703E" w:rsidP="0025703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Разработчик:</w:t>
      </w:r>
    </w:p>
    <w:p w:rsidR="00D93452" w:rsidRPr="00D93452" w:rsidRDefault="00D93452" w:rsidP="00D93452">
      <w:pPr>
        <w:tabs>
          <w:tab w:val="left" w:pos="993"/>
        </w:tabs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Обносова</w:t>
      </w:r>
      <w:proofErr w:type="spellEnd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Г.П.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доцент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br w:type="page"/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>Тест по дисциплине «Алалия»</w:t>
      </w:r>
    </w:p>
    <w:p w:rsidR="00D93452" w:rsidRPr="00D93452" w:rsidRDefault="00D93452" w:rsidP="00D93452">
      <w:pPr>
        <w:suppressAutoHyphens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3452">
        <w:rPr>
          <w:rFonts w:ascii="Times New Roman" w:eastAsia="Times New Roman" w:hAnsi="Times New Roman" w:cs="Times New Roman"/>
          <w:sz w:val="24"/>
          <w:szCs w:val="24"/>
          <w:lang w:eastAsia="ar-SA"/>
        </w:rPr>
        <w:t>1.Алалия – это: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всех компонентов речевой системы при сохранном слухе и относительно сохранном интеллекте.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Отсутствие речи или ее грубое недоразвитие при нормальном слухе и относительно сохранном интеллекте вследствие органического поражения головного мозга.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Распад сложившейся речевой (языковой) системы вследствие локального поражения головного мозга у детей.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Все вышеприведенные определения верны.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Какой фактор в наибольшей степени обуславливает возникновение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Наследственность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Асфиксия в натальный период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Соматические заболевания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Социальные причины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Какой автор выделяет 3 формы алалии: сенсорную, моторную (эфферентную и афферентную) и оптическую?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Р.Е. Левина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В.К.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Орфинская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Р.А. Белова-Давид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4. Н.Н.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Трауготт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изучая детей с моторной алалией, отметила у них нарушения языкового подражания. Что показал проведенный ею эксперимент?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Дети с трудом различали сочетания звуков АОУ при отсутствии повторения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Дети всегда замечали ошибки при повторении звукового ряда другими детьми.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Дети не замечали собственные ошибки при выполнении задания на повтор звукового ряда.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Все вышеперечисленное.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В чем заключается особенности мышления детей с моторной алалией?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Всегда нарушено, т.к. нарушение речи у таких детей является проявлением интеллектуальной недостаточности.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Мышление страдает вторично, вследствие изменения процесса общения с взрослыми.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Мышление нарушено дифференцированно: особенно страдает вербально-логическое.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эти точки зрения имеют право на существование.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6. В чем заключается психологическая точка зрения по поводу механизмов моторной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Механизмом является апраксия.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 Механизм –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психических процессов анализа, синтеза, сравнения, обобщения, недостаточность психической активности.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Механизм – нарушение языкового уровня порождения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вышеприведенные варианты.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Сколько этапов логопедической работы при моторной алалии выделила О.В. Правдина?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3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5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в.2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г.6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8. Как называется 3-й этап коррекционной работы при моторной алалии по Е.М.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Мастюковой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, Т.Б. Филичевой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Первые формы слов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Формирование предложения из нескольких слов.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Однословное предложение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Работа над 2-составным предложением.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9. В чем заключается принципиальное отличие моторной алалии от нарушений речи у слабослышащих?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При алалии поведение ребенка адекватно ситуации.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При алалии нет парезов, гиперкинезов, другой неврологической симптоматики.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Жесты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алалков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сопровождают звуками, искаженными,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лепетными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словами.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г.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плохо пользуются экспрессивной речью.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 Сколько повторов требуется сенсорным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для закрепления связи между предметом и акустическим образом слова?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2-3 повтора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б.10-12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100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20-30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11. Каково современное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представление  о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локализации высших психических функций (ВПФ)?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Узкий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локализационизм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– в мозге выделяют зоны (центры), отвечающие за те или иные функции.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Ноэтическое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направление – все структуры мозга имеют одинаковые функциональные возможности.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Динамическая организация </w:t>
      </w:r>
      <w:proofErr w:type="gram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ВПФ  –</w:t>
      </w:r>
      <w:proofErr w:type="gram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мозг имеет системное строение и в то же время работает дифференцированно.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12. Какое из приведенных утверждений является наиболее современным и полным? Алалия – это: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всех компонентов речевой системы при сохранном слухе и относительно сохранном интеллекте.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Отсутствие речи или ее грубое недоразвитие при нормальном слухе и относительно сохранном интеллекте вследствие органического поражения головного мозга.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в. Центрального происхождения немота детей, никогда внятно не говоривших, при наличии у них достаточного для развития интеллекта, элементарного анализа и синтеза и периферического артикуляционного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аппарата..</w:t>
      </w:r>
      <w:proofErr w:type="gram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Расстройство развития языковой способности у детей, которая характеризуется нарушением языковых операций при восприятии и порождении речевых высказываний.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13. В скольких процентах случаев у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алаликов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анамнезе присутствует родовая асфиксия?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В 20%.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В 60%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В 80%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 100%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8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14. Какой автор выделяет 3 группы детей с алалией: с нарушениями слухового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 xml:space="preserve">фонематического восприятия; с нарушением зрительного восприятия; с нарушением психической активности?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Р.Е. Левина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В.К.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Орфинская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Р.А. Белова-Давид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В.К. Воробьева, изучая детей с моторной алалией, отметила у них нарушения связной речи. Что показал проведенный ею эксперимент?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Всех детей можно разделить на 2 группы: первая в неправильной последовательности раскладывала сюжетные картинки, поэтому наблюдались нарушения смыслового уровня в составленных рассказах; другие раскладывали серию картинок верно, но не могли составить рассказ, искажали его суть.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Все дети не смогли, как верно разложить серию картинок, так и составить по ним рассказ.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в. Дети разделились на 3 группы: первая в неправильной последовательности раскладывала сюжетные картинки, поэтому наблюдались нарушения смыслового уровня в составленных рассказах; другие раскладывали серию картинок верно, но не могли составить рассказ, искажали его суть; третья группа правильно определила последовательность картинок и составила предельно краткие рассказы.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дети проявляли речевой негативизм и отказывались выполнять это задание.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В чем заключается особенности памяти детей с моторной алалией?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Быстрое угасание словесных следов.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Не отличается от возрастной нормы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Особенно страдает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речедвигательная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память.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эти точки зрения имеют право на существование.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17. В чем заключаются взгляды приверженцев моторной теории по поводу механизмов моторной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Механизмом является апраксия.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 Механизм –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психических процессов анализа, синтеза, сравнения, обобщения, недостаточность психической активности.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Механизм – нарушение языкового уровня порождения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вышеприведенные варианты.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18. Сколько этапов логопедической работы при моторной алалии выделили Е.М.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Мастюкова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Т.Б. Филичева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3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5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</w:t>
      </w:r>
      <w:r w:rsidR="002D38C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</w:t>
      </w:r>
      <w:r w:rsidR="002D38C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="00F65BBD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19. Как называется 2-й этап коррекционной работы при моторной алалии по Е.М.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Мастюковой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, Т.Б. Филичевой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Первые формы слов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Формирование предложения из нескольких слов.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Однословное предложение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Работа над 2-составным предложением.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20. В чем заключается принципиальное отличие моторной алалии от дизартрии?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При алалии поведение ребенка адекватно ситуации.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При алалии нет парезов, гиперкинезов, другой неврологической симптоматики.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lastRenderedPageBreak/>
        <w:t xml:space="preserve">в. Жесты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сопровождают звуками, искаженными,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лепетными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словами.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г.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плохо пользуются экспрессивной речью.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21. Какое количество привычных звуков узнают сенсорные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отличие от нормы?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20%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б.60%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50%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22. За что отвечают первичные зоны второго функционального блока (по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Синтез ощущений, обеспечение процессов восприятия, узнавания,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гнозиса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(слухового, зрительного и др.)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Обеспечивают выполнение сложный функций, в том числе символических: счета, письма, чтения и др.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Прием информации от анализаторов, переработка ее в ощущения.</w:t>
      </w:r>
    </w:p>
    <w:p w:rsidR="00D93452" w:rsidRPr="00D93452" w:rsidRDefault="00D93452" w:rsidP="00D93452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34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D93452" w:rsidRPr="00D93452" w:rsidTr="008446A4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22</w:t>
            </w:r>
          </w:p>
        </w:tc>
      </w:tr>
      <w:tr w:rsidR="00D93452" w:rsidRPr="00D93452" w:rsidTr="008446A4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ПК – 1, ПК – 2</w:t>
            </w:r>
          </w:p>
        </w:tc>
      </w:tr>
      <w:tr w:rsidR="00D93452" w:rsidRPr="00D93452" w:rsidTr="008446A4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D93452" w:rsidRPr="00D93452" w:rsidTr="008446A4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 балл</w:t>
            </w:r>
          </w:p>
        </w:tc>
      </w:tr>
      <w:tr w:rsidR="00D93452" w:rsidRPr="00D93452" w:rsidTr="008446A4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23</w:t>
            </w:r>
          </w:p>
        </w:tc>
      </w:tr>
      <w:tr w:rsidR="00D93452" w:rsidRPr="00D93452" w:rsidTr="008446A4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«5» - 22-20 тестовых баллов (100 - 84 %)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«4» - 19- 16 тестовых баллов (78 – 52%)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«3» -  15-10 тестовых баллов (47 –26 %)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«2» - 9  (и ниже) тестовых баллов (21- 0%)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Примеры рефератов</w:t>
      </w:r>
    </w:p>
    <w:p w:rsidR="00D93452" w:rsidRPr="00D93452" w:rsidRDefault="00D93452" w:rsidP="00D93452">
      <w:pPr>
        <w:widowControl w:val="0"/>
        <w:suppressAutoHyphens/>
        <w:spacing w:after="0" w:line="276" w:lineRule="auto"/>
        <w:ind w:right="-2"/>
        <w:jc w:val="center"/>
        <w:rPr>
          <w:rFonts w:ascii="Times New Roman" w:eastAsia="DejaVu Sans" w:hAnsi="Times New Roman" w:cs="DejaVu Sans"/>
          <w:b/>
          <w:kern w:val="1"/>
          <w:sz w:val="28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Характеристика связной речи у детей с моторной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Обследование речи детей с ОНР.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Психолого-педагогическая характеристика детей с ОНР.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Неречевые нарушения при моторной алалии.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Развитие словаря у детей с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Структура речевого дефекта при моторной алалии.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Формирование грамматического строя речи у детей с мо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softHyphen/>
        <w:t>торной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Сравнительная характеристика речи у детей с моторной алалией и умственной отсталостью.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Биологические и социальные факторы риска в развитии речевой патологии.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Исследование сформированности «чувства языка» у дошкольни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ков с системным недоразвитием речи.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Восприятие связных речевых сообщений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lastRenderedPageBreak/>
        <w:t>Сопоставительный анализ состояния связной речи детей с сис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темным недоразвитием речи и нормативным развитием.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Характер ориентировочной деятельности детей с системным нару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шением речи по опознанию образцов текстовых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Динамика овладения навыками и умениями связной монологи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 xml:space="preserve">ческой речи.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Характер восприятия текстовых сообщений учащимися с тяже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Возможности прогнозирования в процессе восприятия связного речевого сообщения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 специфике речевого поведения детей с отклонениями в разви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тии в условиях монологического общения.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Изучение мотивации учебной речевой деятельности.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Особенности понимания учебных текстов школьниками с раз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личными речевыми нарушениями.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Развитие понимания текстовых сообщений детьми с системным нарушением речи.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ориентировочных действий по опознанию образ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цов связной речи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операции замысла связного речевого сообщения у детей с системным недоразвитием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первоначальным навыкам связного говорения детей с тяжелыми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прогностических операций в процессе восприя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тия речевых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навыкам и умениям по построению связных повество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вательных рассказов.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Развитие прогностических операций в процессе порождения связных сообщений у школьников с тяжелыми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Особенности формирования семантической структуры слова в процессе обучения связной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Формирование связной описательной речи у детей дошкольного и школьного возраста с отклонениями в речевом </w:t>
      </w:r>
      <w:proofErr w:type="gramStart"/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развитии..</w:t>
      </w:r>
      <w:proofErr w:type="gramEnd"/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школьников с тяжелыми нарушениями речи програм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мированию связных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Методы и приемы формирования межфразовой связи в тексто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вых сообщениях младших школьников с тяжелыми нарушения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текстовых умений у учащихся 3—4 классов спе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 xml:space="preserve">циальной коррекционной школы 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val="en-US" w:eastAsia="hi-IN" w:bidi="hi-IN"/>
        </w:rPr>
        <w:t>V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вида.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школьников с системным недоразвитием речи кратко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му пересказу.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</w:t>
      </w:r>
      <w:r w:rsidRPr="00D93452">
        <w:rPr>
          <w:rFonts w:ascii="Times New Roman" w:eastAsia="DejaVu Sans" w:hAnsi="Times New Roman" w:cs="DejaVu Sans"/>
          <w:b/>
          <w:spacing w:val="-2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D93452" w:rsidRPr="00D93452" w:rsidTr="008446A4">
        <w:tc>
          <w:tcPr>
            <w:tcW w:w="4077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077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Реферат – сбор и представление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1) титульный лист (оформляется по образцу, утвержденному кафедрой);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2) план работы с указанием страниц каждого пункта;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5) заключение;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6) список использованной литературы;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DejaVu Sans"/>
          <w:kern w:val="1"/>
          <w:sz w:val="24"/>
          <w:szCs w:val="24"/>
          <w:lang w:val="en-US" w:eastAsia="hi-IN" w:bidi="hi-IN"/>
        </w:rPr>
      </w:pP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lastRenderedPageBreak/>
        <w:t>Алгоритм</w:t>
      </w:r>
      <w:proofErr w:type="spellEnd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учебного</w:t>
      </w:r>
      <w:proofErr w:type="spellEnd"/>
      <w:r w:rsidRPr="00D93452">
        <w:rPr>
          <w:rFonts w:ascii="Times New Roman" w:eastAsia="Times New Roman" w:hAnsi="Times New Roman" w:cs="DejaVu Sans"/>
          <w:b/>
          <w:bCs/>
          <w:spacing w:val="-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структурировать, выделять главное</w:t>
            </w:r>
            <w:r w:rsidRPr="00D93452">
              <w:rPr>
                <w:rFonts w:ascii="Times New Roman" w:eastAsia="DejaVu Sans" w:hAnsi="Times New Roman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обобщать</w:t>
            </w:r>
            <w:r w:rsidRPr="00D93452">
              <w:rPr>
                <w:rFonts w:ascii="Times New Roman" w:eastAsia="DejaVu Sans" w:hAnsi="Times New Roman" w:cs="DejaVu Sans"/>
                <w:b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материал: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-обоснование актуальности проблемы и темы для теории и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практики;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-соответствие плана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теме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-охват планом всех аспектов</w:t>
            </w:r>
            <w:r w:rsidRPr="00D93452">
              <w:rPr>
                <w:rFonts w:ascii="Times New Roman" w:eastAsia="DejaVu Sans" w:hAnsi="Times New Roman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сформулированной темы;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теме и плану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-постановка проблемы для</w:t>
            </w:r>
            <w:r w:rsidRPr="00D93452">
              <w:rPr>
                <w:rFonts w:ascii="Times New Roman" w:eastAsia="DejaVu Sans" w:hAnsi="Times New Roman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обсуждения;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-формулирование выводов по каждому</w:t>
            </w:r>
            <w:r w:rsidRPr="00D93452">
              <w:rPr>
                <w:rFonts w:ascii="Times New Roman" w:eastAsia="DejaVu Sans" w:hAnsi="Times New Roman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параграфу;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-формулирование выводов по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всей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-систематизация и структурирование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материала;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-полнота и глубина раскрытия основных</w:t>
            </w:r>
            <w:r w:rsidRPr="00D93452">
              <w:rPr>
                <w:rFonts w:ascii="Times New Roman" w:eastAsia="DejaVu Sans" w:hAnsi="Times New Roman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понятий проблемы;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-грамотное использование</w:t>
            </w:r>
            <w:r w:rsidRPr="00D93452">
              <w:rPr>
                <w:rFonts w:ascii="Times New Roman" w:eastAsia="DejaVu Sans" w:hAnsi="Times New Roman" w:cs="DejaVu Sans"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терминологии;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-сопоставление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различных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точек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Зрения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 проблеме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изучения;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-наличие собственной авторской позиции,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самостоятельность суждений;</w:t>
            </w:r>
            <w:r w:rsidRPr="00D93452">
              <w:rPr>
                <w:rFonts w:ascii="Times New Roman" w:eastAsia="DejaVu Sans" w:hAnsi="Times New Roman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формулирование собственного оценочного отношения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 рассматриваемому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работать с</w:t>
            </w:r>
            <w:r w:rsidRPr="00D93452">
              <w:rPr>
                <w:rFonts w:ascii="Times New Roman" w:eastAsia="DejaVu Sans" w:hAnsi="Times New Roman" w:cs="DejaVu Sans"/>
                <w:b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первоисточниками: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-выделение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главного;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-адекватное изложение мысли</w:t>
            </w:r>
            <w:r w:rsidRPr="00D93452">
              <w:rPr>
                <w:rFonts w:ascii="Times New Roman" w:eastAsia="DejaVu Sans" w:hAnsi="Times New Roman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первоисточника собственными словами или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 использованием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цитирования;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-уместное и достаточное</w:t>
            </w:r>
            <w:r w:rsidRPr="00D93452">
              <w:rPr>
                <w:rFonts w:ascii="Times New Roman" w:eastAsia="DejaVu Sans" w:hAnsi="Times New Roman" w:cs="DejaVu Sans"/>
                <w:spacing w:val="-1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цитирование первоисточников;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-использование для освещения выбранной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темы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 менее 5-7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источников;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-круг, полнота использования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Грамотность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-отсутствие орфографических,</w:t>
            </w:r>
            <w:r w:rsidRPr="00D93452">
              <w:rPr>
                <w:rFonts w:ascii="Times New Roman" w:eastAsia="DejaVu Sans" w:hAnsi="Times New Roman" w:cs="DejaVu Sans"/>
                <w:spacing w:val="-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синтаксических, пунктуационных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ошибок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-грамотность и культура</w:t>
            </w:r>
            <w:r w:rsidRPr="00D93452">
              <w:rPr>
                <w:rFonts w:ascii="Times New Roman" w:eastAsia="DejaVu Sans" w:hAnsi="Times New Roman" w:cs="DejaVu Sans"/>
                <w:spacing w:val="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изложения;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научный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оформлять письменную</w:t>
            </w:r>
            <w:r w:rsidRPr="00D93452">
              <w:rPr>
                <w:rFonts w:ascii="Times New Roman" w:eastAsia="DejaVu Sans" w:hAnsi="Times New Roman" w:cs="DejaVu Sans"/>
                <w:b/>
                <w:spacing w:val="-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работу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-правильное оформление ссылок на</w:t>
            </w:r>
            <w:r w:rsidRPr="00D93452">
              <w:rPr>
                <w:rFonts w:ascii="Times New Roman" w:eastAsia="DejaVu Sans" w:hAnsi="Times New Roman" w:cs="DejaVu Sans"/>
                <w:spacing w:val="-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используемую литературу;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-грамотное составление списка</w:t>
            </w:r>
            <w:r w:rsidRPr="00D93452">
              <w:rPr>
                <w:rFonts w:ascii="Times New Roman" w:eastAsia="DejaVu Sans" w:hAnsi="Times New Roman" w:cs="DejaVu Sans"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использованной литературы;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-соблюдение требований к оформлению и</w:t>
            </w:r>
            <w:r w:rsidRPr="00D93452">
              <w:rPr>
                <w:rFonts w:ascii="Times New Roman" w:eastAsia="DejaVu Sans" w:hAnsi="Times New Roman" w:cs="DejaVu Sans"/>
                <w:spacing w:val="-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Примеры докладов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1.Особенности работы над звукопроизношением при моторной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2.Обследование детей с алалией.</w:t>
      </w:r>
    </w:p>
    <w:p w:rsidR="00D93452" w:rsidRPr="00D93452" w:rsidRDefault="00D93452" w:rsidP="00D9345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  <w:r w:rsidRPr="00D934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3.Система коррекционной работы при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4.Диагностика особенностей словообразования у детей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 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5.Диагностика особенностей звукопроизношения у детей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 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6.Принципы работы над звукопроизношением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7.Система коррекционной работы при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8.Состояние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контроля  за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органами артикуляции у детей с алалией.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9.Специфика проведения артикуляционной гимнастики у детей с алалией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10.Развитие голосовой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функции  при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Развитие кинестетической основы артикуляторных движений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Особенности работы над механизмом </w:t>
      </w:r>
      <w:proofErr w:type="spell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слогообразования</w:t>
      </w:r>
      <w:proofErr w:type="spell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при различных формах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Определение  структуры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дефекта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Ранняя диагностика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Основные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признаки  сенсорной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Основные клинические признаки моторных форм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Комплексный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подход  коррекции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речи у детей с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алалией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Логопедическая работа по формированию лексико-грамматического строя и связной речи у детей с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алалией.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3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Коррекция дыхания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Коррекция голоса при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афазии.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дизартрии и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Профилактика ОНР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Патогенез алалии. Психолого-педагогическая характеристика детей с ОНР 3 уровня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 моторной</w:t>
      </w:r>
      <w:proofErr w:type="gramEnd"/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2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моторной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1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Дифференциальная диагностика алалии и </w:t>
      </w:r>
      <w:proofErr w:type="spell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нейросенсорной</w:t>
      </w:r>
      <w:proofErr w:type="spell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тугоухости.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синдрома РДА.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недостаточности интеллектуального развития.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 доклада, выступления,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сообщения</w:t>
      </w:r>
    </w:p>
    <w:p w:rsidR="00D93452" w:rsidRPr="00D93452" w:rsidRDefault="00D93452" w:rsidP="00D93452">
      <w:pPr>
        <w:widowControl w:val="0"/>
        <w:tabs>
          <w:tab w:val="left" w:pos="419"/>
        </w:tabs>
        <w:suppressAutoHyphens/>
        <w:spacing w:after="0" w:line="240" w:lineRule="auto"/>
        <w:ind w:left="432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к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работы</w:t>
            </w:r>
            <w:r w:rsidRPr="00D93452">
              <w:rPr>
                <w:rFonts w:ascii="Times New Roman" w:eastAsia="DejaVu Sans" w:hAnsi="Times New Roman" w:cs="DejaVu Sans"/>
                <w:spacing w:val="-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обучающегося,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представляющий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собой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публичное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выступление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представлению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полученных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результатов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решения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определенной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или научной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1)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сообщение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(выступление);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2) вопросы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докладчику;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3) комментарии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замечания к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докладчику;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обсуждение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доклада,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его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теоретических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методических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достоинств 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недостатков,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дополнения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замечания по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нему;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4)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ответное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заключительное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слово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докладчика;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5)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заключение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outlineLvl w:val="1"/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Соответствие содержания заявленной теме. Доклад содержит сформулированное</w:t>
            </w:r>
            <w:r w:rsidRPr="00D93452">
              <w:rPr>
                <w:rFonts w:ascii="Times New Roman" w:eastAsia="DejaVu Sans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D93452">
              <w:rPr>
                <w:rFonts w:ascii="Times New Roman" w:eastAsia="DejaVu Sans" w:hAnsi="Times New Roman" w:cs="DejaVu Sans"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этом: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Определено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место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исследуемого</w:t>
            </w:r>
            <w:r w:rsidRPr="00D93452">
              <w:rPr>
                <w:rFonts w:ascii="Times New Roman" w:eastAsia="DejaVu Sans" w:hAnsi="Times New Roman" w:cs="DejaVu Sans"/>
                <w:spacing w:val="-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управления</w:t>
            </w:r>
            <w:r w:rsidRPr="00D93452">
              <w:rPr>
                <w:rFonts w:ascii="Times New Roman" w:eastAsia="DejaVu Sans" w:hAnsi="Times New Roman" w:cs="DejaVu Sans"/>
                <w:i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проектами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Обозначен круг понятий и терминов, необходимых </w:t>
            </w:r>
            <w:proofErr w:type="gram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для описания</w:t>
            </w:r>
            <w:proofErr w:type="gram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исследуемого (рассматриваемого) тезиса.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D93452">
              <w:rPr>
                <w:rFonts w:ascii="Times New Roman" w:eastAsia="DejaVu Sans" w:hAnsi="Times New Roman" w:cs="DejaVu Sans"/>
                <w:spacing w:val="2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D93452">
              <w:rPr>
                <w:rFonts w:ascii="Times New Roman" w:eastAsia="DejaVu Sans" w:hAnsi="Times New Roman" w:cs="DejaVu Sans"/>
                <w:i/>
                <w:spacing w:val="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D93452">
              <w:rPr>
                <w:rFonts w:ascii="Times New Roman" w:eastAsia="DejaVu Sans" w:hAnsi="Times New Roman" w:cs="DejaVu Sans"/>
                <w:i/>
                <w:spacing w:val="5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D93452">
              <w:rPr>
                <w:rFonts w:ascii="Times New Roman" w:eastAsia="DejaVu Sans" w:hAnsi="Times New Roman" w:cs="DejaVu Sans"/>
                <w:i/>
                <w:spacing w:val="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примеров из мировой</w:t>
            </w:r>
            <w:r w:rsidRPr="00D93452">
              <w:rPr>
                <w:rFonts w:ascii="Times New Roman" w:eastAsia="DejaVu Sans" w:hAnsi="Times New Roman" w:cs="DejaVu Sans"/>
                <w:i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практики)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D93452">
              <w:rPr>
                <w:rFonts w:ascii="Times New Roman" w:eastAsia="DejaVu Sans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D93452">
              <w:rPr>
                <w:rFonts w:ascii="Times New Roman" w:eastAsia="DejaVu Sans" w:hAnsi="Times New Roman" w:cs="DejaVu Sans"/>
                <w:spacing w:val="3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от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D93452">
              <w:rPr>
                <w:rFonts w:ascii="Times New Roman" w:eastAsia="DejaVu Sans" w:hAnsi="Times New Roman" w:cs="DejaVu Sans"/>
                <w:spacing w:val="-1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другой.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Подача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материала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выступления: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свободное</w:t>
            </w:r>
            <w:r w:rsidRPr="00D93452">
              <w:rPr>
                <w:rFonts w:ascii="Times New Roman" w:eastAsia="DejaVu Sans" w:hAnsi="Times New Roman" w:cs="DejaVu Sans"/>
                <w:spacing w:val="-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D93452">
              <w:rPr>
                <w:rFonts w:ascii="Times New Roman" w:eastAsia="DejaVu Sans" w:hAnsi="Times New Roman" w:cs="DejaVu Sans"/>
                <w:spacing w:val="-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аудиторией.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D93452">
              <w:rPr>
                <w:rFonts w:ascii="Times New Roman" w:eastAsia="DejaVu Sans" w:hAnsi="Times New Roman" w:cs="DejaVu Sans"/>
                <w:spacing w:val="4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источники, авторов</w:t>
            </w:r>
            <w:r w:rsidRPr="00D93452">
              <w:rPr>
                <w:rFonts w:ascii="Times New Roman" w:eastAsia="DejaVu Sans" w:hAnsi="Times New Roman" w:cs="DejaVu Sans"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исследований.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Презентации к докладам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</w:t>
      </w:r>
      <w:r w:rsidRPr="00D93452">
        <w:rPr>
          <w:rFonts w:ascii="Times New Roman" w:eastAsia="DejaVu Sans" w:hAnsi="Times New Roman" w:cs="DejaVu Sans"/>
          <w:b/>
          <w:spacing w:val="-8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к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работы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обучающегося.</w:t>
            </w:r>
          </w:p>
          <w:p w:rsidR="00D93452" w:rsidRPr="00D93452" w:rsidRDefault="00D93452" w:rsidP="00D93452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(от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D93452">
              <w:rPr>
                <w:rFonts w:ascii="Times New Roman" w:eastAsia="Times New Roman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—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документ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или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комплект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документов,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предназначенный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для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представления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чего-либо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(организации,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проекта,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продукта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т.п.).</w:t>
            </w:r>
          </w:p>
          <w:p w:rsidR="00D93452" w:rsidRPr="00D93452" w:rsidRDefault="00D93452" w:rsidP="00D93452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Цель </w:t>
            </w:r>
            <w:r w:rsidRPr="00D93452">
              <w:rPr>
                <w:rFonts w:ascii="Times New Roman" w:eastAsia="Times New Roman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—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донести 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до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аудитории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полноценную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информацию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объекте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удобной</w:t>
            </w:r>
            <w:r w:rsidRPr="00D93452">
              <w:rPr>
                <w:rFonts w:ascii="Times New Roman" w:eastAsia="DejaVu Sans" w:hAnsi="Times New Roman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может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собой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сочетание текста,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гипертекстовых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ссылок,</w:t>
            </w:r>
            <w:r w:rsidRPr="00D93452">
              <w:rPr>
                <w:rFonts w:ascii="Times New Roman" w:eastAsia="DejaVu Sans" w:hAnsi="Times New Roman" w:cs="DejaVu Sans"/>
                <w:spacing w:val="2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компьютерной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анимации, графики,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видео,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музыки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звукового ряда (но</w:t>
            </w:r>
            <w:r w:rsidRPr="00D93452">
              <w:rPr>
                <w:rFonts w:ascii="Times New Roman" w:eastAsia="DejaVu Sans" w:hAnsi="Times New Roman" w:cs="DejaVu Sans"/>
                <w:spacing w:val="5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>не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обязательно 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>всё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вместе),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которые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единую среду. Есть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сюжет,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сценарий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структура,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организованная для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удобного восприятия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особенностью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является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её интерактивность,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есть создаваемая для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пользователя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возможность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через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элементы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</w:pP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Алгоритм</w:t>
      </w:r>
      <w:proofErr w:type="spellEnd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D93452">
        <w:rPr>
          <w:rFonts w:ascii="Times New Roman" w:eastAsia="DejaVu Sans" w:hAnsi="Times New Roman" w:cs="DejaVu Sans"/>
          <w:b/>
          <w:spacing w:val="-1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содержанию: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содержанию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D93452">
              <w:rPr>
                <w:rFonts w:ascii="Times New Roman" w:eastAsia="DejaVu Sans" w:hAnsi="Times New Roman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информации;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lastRenderedPageBreak/>
              <w:t>-объединение семантически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-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D93452">
              <w:rPr>
                <w:rFonts w:ascii="Times New Roman" w:eastAsia="DejaVu Sans" w:hAnsi="Times New Roman" w:cs="DejaVu Sans"/>
                <w:spacing w:val="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lastRenderedPageBreak/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тексту: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лаконичность текста на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текста.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D93452">
              <w:rPr>
                <w:rFonts w:ascii="Times New Roman" w:eastAsia="DejaVu Sans" w:hAnsi="Times New Roman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D93452">
              <w:rPr>
                <w:rFonts w:ascii="Times New Roman" w:eastAsia="DejaVu Sans" w:hAnsi="Times New Roman" w:cs="DejaVu Sans"/>
                <w:spacing w:val="3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D93452">
              <w:rPr>
                <w:rFonts w:ascii="Times New Roman" w:eastAsia="Times New Roman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Arial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Calibri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D93452">
              <w:rPr>
                <w:rFonts w:ascii="Times New Roman" w:eastAsia="Times New Roman" w:hAnsi="Times New Roman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вариантов шрифта;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D93452">
              <w:rPr>
                <w:rFonts w:ascii="Times New Roman" w:eastAsia="DejaVu Sans" w:hAnsi="Times New Roman" w:cs="DejaVu Sans"/>
                <w:spacing w:val="1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D93452">
              <w:rPr>
                <w:rFonts w:ascii="Times New Roman" w:eastAsia="DejaVu Sans" w:hAnsi="Times New Roman" w:cs="DejaVu Sans"/>
                <w:spacing w:val="-2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1:0,375 до 1:0,75;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-длина строки не более 36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знаков;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а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между абзацев – 2</w:t>
            </w:r>
            <w:r w:rsidRPr="00D93452">
              <w:rPr>
                <w:rFonts w:ascii="Times New Roman" w:eastAsia="Times New Roman" w:hAnsi="Times New Roman" w:cs="DejaVu Sans"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интервала;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гиперссылках;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D93452">
              <w:rPr>
                <w:rFonts w:ascii="Times New Roman" w:eastAsia="DejaVu Sans" w:hAnsi="Times New Roman" w:cs="DejaVu Sans"/>
                <w:spacing w:val="2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D93452">
              <w:rPr>
                <w:rFonts w:ascii="Times New Roman" w:eastAsia="DejaVu Sans" w:hAnsi="Times New Roman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 средствам</w:t>
            </w:r>
            <w:r w:rsidRPr="00D93452">
              <w:rPr>
                <w:rFonts w:ascii="Times New Roman" w:eastAsia="DejaVu Sans" w:hAnsi="Times New Roman" w:cs="DejaVu Sans"/>
                <w:b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выразительности: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D93452">
              <w:rPr>
                <w:rFonts w:ascii="Times New Roman" w:eastAsia="DejaVu Sans" w:hAnsi="Times New Roman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D93452">
              <w:rPr>
                <w:rFonts w:ascii="Times New Roman" w:eastAsia="DejaVu Sans" w:hAnsi="Times New Roman" w:cs="DejaVu Sans"/>
                <w:spacing w:val="3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если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 слайде картинка,</w:t>
            </w:r>
            <w:r w:rsidRPr="00D93452">
              <w:rPr>
                <w:rFonts w:ascii="Times New Roman" w:eastAsia="DejaVu Sans" w:hAnsi="Times New Roman" w:cs="DejaVu Sans"/>
                <w:spacing w:val="3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D93452">
              <w:rPr>
                <w:rFonts w:ascii="Times New Roman" w:eastAsia="DejaVu Sans" w:hAnsi="Times New Roman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текст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 ширине; не</w:t>
            </w:r>
            <w:r w:rsidRPr="00D93452">
              <w:rPr>
                <w:rFonts w:ascii="Times New Roman" w:eastAsia="DejaVu Sans" w:hAnsi="Times New Roman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допускать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«рваных» краев</w:t>
            </w:r>
            <w:r w:rsidRPr="00D93452">
              <w:rPr>
                <w:rFonts w:ascii="Times New Roman" w:eastAsia="DejaVu Sans" w:hAnsi="Times New Roman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D93452">
              <w:rPr>
                <w:rFonts w:ascii="Times New Roman" w:eastAsia="DejaVu Sans" w:hAnsi="Times New Roman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движение;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D93452">
              <w:rPr>
                <w:rFonts w:ascii="Times New Roman" w:eastAsia="DejaVu Sans" w:hAnsi="Times New Roman" w:cs="DejaVu Sans"/>
                <w:spacing w:val="2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только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D93452">
              <w:rPr>
                <w:rFonts w:ascii="Times New Roman" w:eastAsia="DejaVu Sans" w:hAnsi="Times New Roman" w:cs="DejaVu Sans"/>
                <w:spacing w:val="5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помощью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Picture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Manager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, сжатие с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содержанию;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дизайну: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оформления;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D93452">
              <w:rPr>
                <w:rFonts w:ascii="Times New Roman" w:eastAsia="DejaVu Sans" w:hAnsi="Times New Roman" w:cs="DejaVu Sans"/>
                <w:spacing w:val="3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звукового,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анимационного)</w:t>
            </w:r>
            <w:r w:rsidRPr="00D93452">
              <w:rPr>
                <w:rFonts w:ascii="Times New Roman" w:eastAsia="DejaVu Sans" w:hAnsi="Times New Roman" w:cs="DejaVu Sans"/>
                <w:spacing w:val="-3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содержанию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презентации;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D93452">
              <w:rPr>
                <w:rFonts w:ascii="Times New Roman" w:eastAsia="DejaVu Sans" w:hAnsi="Times New Roman" w:cs="DejaVu Sans"/>
                <w:spacing w:val="5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D93452">
              <w:rPr>
                <w:rFonts w:ascii="Times New Roman" w:eastAsia="DejaVu Sans" w:hAnsi="Times New Roman" w:cs="DejaVu Sans"/>
                <w:spacing w:val="2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D93452">
              <w:rPr>
                <w:rFonts w:ascii="Times New Roman" w:eastAsia="DejaVu Sans" w:hAnsi="Times New Roman" w:cs="DejaVu Sans"/>
                <w:spacing w:val="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слайде, но не заслонять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>ее;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D93452">
              <w:rPr>
                <w:rFonts w:ascii="Times New Roman" w:eastAsia="DejaVu Sans" w:hAnsi="Times New Roman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одном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D93452">
              <w:rPr>
                <w:rFonts w:ascii="Times New Roman" w:eastAsia="DejaVu Sans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D93452">
              <w:rPr>
                <w:rFonts w:ascii="Times New Roman" w:eastAsia="DejaVu Sans" w:hAnsi="Times New Roman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нейтральным);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оформлению: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D93452">
              <w:rPr>
                <w:rFonts w:ascii="Times New Roman" w:eastAsia="DejaVu Sans" w:hAnsi="Times New Roman" w:cs="DejaVu Sans"/>
                <w:spacing w:val="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D93452">
              <w:rPr>
                <w:rFonts w:ascii="Times New Roman" w:eastAsia="DejaVu Sans" w:hAnsi="Times New Roman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D93452">
              <w:rPr>
                <w:rFonts w:ascii="Times New Roman" w:eastAsia="DejaVu Sans" w:hAnsi="Times New Roman" w:cs="DejaVu Sans"/>
                <w:spacing w:val="4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восприятию материала на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титуле;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 xml:space="preserve">-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D93452">
              <w:rPr>
                <w:rFonts w:ascii="Times New Roman" w:eastAsia="Times New Roman" w:hAnsi="Times New Roman" w:cs="DejaVu Sans"/>
                <w:spacing w:val="4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</w:t>
            </w:r>
            <w:proofErr w:type="gramStart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и  точные</w:t>
            </w:r>
            <w:proofErr w:type="gramEnd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 w:rsidRPr="00D93452">
              <w:rPr>
                <w:rFonts w:ascii="Times New Roman" w:eastAsia="Times New Roman" w:hAnsi="Times New Roman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D93452">
              <w:rPr>
                <w:rFonts w:ascii="Times New Roman" w:eastAsia="Times New Roman" w:hAnsi="Times New Roman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об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D93452">
              <w:rPr>
                <w:rFonts w:ascii="Times New Roman" w:eastAsia="Times New Roman" w:hAnsi="Times New Roman" w:cs="DejaVu Sans"/>
                <w:spacing w:val="4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Times New Roman" w:hAnsi="Times New Roman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авторе (почта,</w:t>
            </w:r>
            <w:r w:rsidRPr="00D93452">
              <w:rPr>
                <w:rFonts w:ascii="Times New Roman" w:eastAsia="Times New Roman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телефон);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D93452">
              <w:rPr>
                <w:rFonts w:ascii="Times New Roman" w:eastAsia="DejaVu Sans" w:hAnsi="Times New Roman" w:cs="DejaVu Sans"/>
                <w:spacing w:val="4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D93452">
              <w:rPr>
                <w:rFonts w:ascii="Times New Roman" w:eastAsia="DejaVu Sans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одним заархивированным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файлом;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lastRenderedPageBreak/>
              <w:t>Итого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00" w:lineRule="atLeast"/>
        <w:jc w:val="center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  <w:t>Перечень вопросов для промежуточной аттестации (к экзамену).</w:t>
      </w:r>
    </w:p>
    <w:p w:rsidR="00D93452" w:rsidRPr="00D93452" w:rsidRDefault="00D93452" w:rsidP="00D93452">
      <w:pPr>
        <w:widowControl w:val="0"/>
        <w:suppressAutoHyphens/>
        <w:spacing w:after="0" w:line="200" w:lineRule="atLeast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1.    Понятие об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алалии  как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о системном нарушении речевой деятельности.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2.    Алалия. Определение.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Виды  алалии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 Классификация.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3.    Принципы и разделы обследования детей с системными нарушениями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4.    Моторная алалия. Определение, причины, механизм нарушений.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5. Сенсорная алалия. Определение, причины, характеристика структуры речевого нарушения.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6.  Дифференциальная диагностика сенсорной алалии и нарушения речи при снижении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слуха.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7.  Виды нарушений слоговой структуры слова в речи детей с моторной алалией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       (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привести  примеры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8.  Особенности нарушений звуковой структуры слова в речи детей с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мотороной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9.    Особенности усвоения лексико-семантической структуры слова детьми с моторной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    Особенности нарушений морфемной структуры слова в речи детей с моторной алалией.                                                                                                                                     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11.    Характеристика структурного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, его виды и варианты. Причины структурного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12.    Виды морфемного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.  Нарушение грамматического строя речи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 по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работе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С.Н.Шаховской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   Дифференциация моторной алалии и нарушения речи при умственной отсталости.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   Уровни нарушения связной монологической речи при моторной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   Характеристика неречевых нарушений, входящих в структуру дефекта при разных формах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   Принципы и методы обследования психологической базы речи детей, страдающих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17.    Принципы и методы логопедической работы при моторной алалии на начальном этапе работы (анализ работы Б. М. </w:t>
      </w:r>
      <w:proofErr w:type="spellStart"/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Гриншпуна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18.    Особенности логопедической работы по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формированию  морфемной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   Методика логопедической работы по формированию слоговой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20.    Формирование грамматического строя речи детей с моторной алалией. (по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работе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 xml:space="preserve"> 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С.Н.Шаховской</w:t>
      </w:r>
      <w:proofErr w:type="spellEnd"/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С.Н.).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21.    Этапы логопедической работы с сенсорными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22.    Методы обследования процесса понимания речи детей с моторной алалией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 xml:space="preserve">(анализ работы </w:t>
      </w:r>
      <w:proofErr w:type="spellStart"/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Г.И.Жаренковой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23.    Структура логопедического занятия по формированию фразовой речи (цели, этапы, лексический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материал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24.    Особенности логопедической работы по формированию звукопроизношения у детей с моторной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25.    Структура коррекционной работы по развитию психологической базы речи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26.    Цели, задачи и этапы логопедической работы по формированию связной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27.    Развитие семантической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28.    Характеристика принципов логопедической работы с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29.    Основные разделы перспективного плана логопедической работы с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>м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оторными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30.    Особенности речевой работы по преодолению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импрессивного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при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разных  формах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31.    Структура перспективного плана логопедической работы с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моторными 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32.    Структура логопедического занятия по развитию речи (любого по выбору).</w:t>
      </w:r>
    </w:p>
    <w:p w:rsid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итерии </w:t>
      </w:r>
      <w:proofErr w:type="gram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оценки :</w:t>
      </w:r>
      <w:proofErr w:type="gram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рии</w:t>
      </w:r>
      <w:r w:rsidRPr="00D93452">
        <w:rPr>
          <w:rFonts w:ascii="Times New Roman" w:eastAsia="DejaVu Sans" w:hAnsi="Times New Roman" w:cs="DejaVu Sans"/>
          <w:spacing w:val="1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</w:t>
      </w:r>
      <w:r w:rsidRPr="00D93452">
        <w:rPr>
          <w:rFonts w:ascii="Times New Roman" w:eastAsia="DejaVu Sans" w:hAnsi="Times New Roman" w:cs="DejaVu Sans"/>
          <w:spacing w:val="21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з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й</w:t>
      </w:r>
      <w:r w:rsidRPr="00D93452">
        <w:rPr>
          <w:rFonts w:ascii="Times New Roman" w:eastAsia="DejaVu Sans" w:hAnsi="Times New Roman" w:cs="DejaVu Sans"/>
          <w:spacing w:val="8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оц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spacing w:val="4"/>
          <w:kern w:val="1"/>
          <w:sz w:val="24"/>
          <w:szCs w:val="24"/>
          <w:lang w:eastAsia="hi-IN" w:bidi="hi-IN"/>
        </w:rPr>
        <w:t>н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</w:t>
      </w:r>
      <w:r w:rsidRPr="00D93452">
        <w:rPr>
          <w:rFonts w:ascii="Times New Roman" w:eastAsia="DejaVu Sans" w:hAnsi="Times New Roman" w:cs="DejaVu Sans"/>
          <w:spacing w:val="1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с</w:t>
      </w:r>
      <w:r w:rsidRPr="00D93452">
        <w:rPr>
          <w:rFonts w:ascii="Times New Roman" w:eastAsia="DejaVu Sans" w:hAnsi="Times New Roman" w:cs="DejaVu Sans"/>
          <w:spacing w:val="2"/>
          <w:kern w:val="1"/>
          <w:sz w:val="24"/>
          <w:szCs w:val="24"/>
          <w:lang w:eastAsia="hi-IN" w:bidi="hi-IN"/>
        </w:rPr>
        <w:t>ф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м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ир</w:t>
      </w:r>
      <w:r w:rsidRPr="00D93452">
        <w:rPr>
          <w:rFonts w:ascii="Times New Roman" w:eastAsia="DejaVu Sans" w:hAnsi="Times New Roman" w:cs="DejaVu Sans"/>
          <w:spacing w:val="5"/>
          <w:kern w:val="1"/>
          <w:sz w:val="24"/>
          <w:szCs w:val="24"/>
          <w:lang w:eastAsia="hi-IN" w:bidi="hi-IN"/>
        </w:rPr>
        <w:t>о</w:t>
      </w:r>
      <w:r w:rsidRPr="00D93452">
        <w:rPr>
          <w:rFonts w:ascii="Times New Roman" w:eastAsia="DejaVu Sans" w:hAnsi="Times New Roman" w:cs="DejaVu Sans"/>
          <w:spacing w:val="-2"/>
          <w:kern w:val="1"/>
          <w:sz w:val="24"/>
          <w:szCs w:val="24"/>
          <w:lang w:eastAsia="hi-IN" w:bidi="hi-IN"/>
        </w:rPr>
        <w:t>в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нно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с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D93452" w:rsidRPr="00D93452" w:rsidTr="008446A4">
        <w:tc>
          <w:tcPr>
            <w:tcW w:w="2027" w:type="dxa"/>
            <w:vMerge w:val="restart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П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л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р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у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м</w:t>
            </w:r>
            <w:r w:rsidRPr="00D93452">
              <w:rPr>
                <w:rFonts w:ascii="Times New Roman" w:eastAsia="DejaVu Sans" w:hAnsi="Times New Roman" w:cs="DejaVu Sans"/>
                <w:i/>
                <w:spacing w:val="-4"/>
                <w:kern w:val="1"/>
                <w:sz w:val="24"/>
                <w:szCs w:val="24"/>
                <w:lang w:eastAsia="hi-IN" w:bidi="hi-IN"/>
              </w:rPr>
              <w:t>ы</w:t>
            </w:r>
            <w:r w:rsidRPr="00D93452">
              <w:rPr>
                <w:rFonts w:ascii="Times New Roman" w:eastAsia="DejaVu Sans" w:hAnsi="Times New Roman" w:cs="DejaVu Sans"/>
                <w:i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р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зу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л</w:t>
            </w:r>
            <w:r w:rsidRPr="00D93452">
              <w:rPr>
                <w:rFonts w:ascii="Times New Roman" w:eastAsia="DejaVu Sans" w:hAnsi="Times New Roman" w:cs="DejaVu Sans"/>
                <w:i/>
                <w:spacing w:val="-6"/>
                <w:kern w:val="1"/>
                <w:sz w:val="24"/>
                <w:szCs w:val="24"/>
                <w:lang w:eastAsia="hi-IN" w:bidi="hi-IN"/>
              </w:rPr>
              <w:t>ь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ы</w:t>
            </w:r>
            <w:r w:rsidRPr="00D93452">
              <w:rPr>
                <w:rFonts w:ascii="Times New Roman" w:eastAsia="DejaVu Sans" w:hAnsi="Times New Roman" w:cs="DejaVu Sans"/>
                <w:i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</w:t>
            </w: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ч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я</w:t>
            </w:r>
          </w:p>
        </w:tc>
        <w:tc>
          <w:tcPr>
            <w:tcW w:w="7544" w:type="dxa"/>
            <w:gridSpan w:val="4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П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к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аза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ел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ц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я, балл</w:t>
            </w:r>
          </w:p>
        </w:tc>
      </w:tr>
      <w:tr w:rsidR="00D93452" w:rsidRPr="00D93452" w:rsidTr="008446A4">
        <w:tc>
          <w:tcPr>
            <w:tcW w:w="2027" w:type="dxa"/>
            <w:vMerge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86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007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86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8446A4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з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1"/>
                <w:kern w:val="1"/>
                <w:sz w:val="24"/>
                <w:szCs w:val="24"/>
                <w:lang w:eastAsia="hi-IN" w:bidi="hi-IN"/>
              </w:rPr>
              <w:t>н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6"/>
                <w:kern w:val="1"/>
                <w:sz w:val="24"/>
                <w:szCs w:val="24"/>
                <w:lang w:eastAsia="hi-IN" w:bidi="hi-IN"/>
              </w:rPr>
              <w:t>ь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: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алалией.</w:t>
            </w:r>
          </w:p>
        </w:tc>
        <w:tc>
          <w:tcPr>
            <w:tcW w:w="1886" w:type="dxa"/>
          </w:tcPr>
          <w:p w:rsidR="00D93452" w:rsidRPr="00D93452" w:rsidRDefault="00D93452" w:rsidP="008446A4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Не 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алалией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но</w:t>
            </w:r>
            <w:proofErr w:type="spellEnd"/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имеет затруднения в их характеристике 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, но допускает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незначительные ошибки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8446A4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уметь:</w:t>
            </w:r>
            <w:r w:rsidR="008446A4">
              <w:t xml:space="preserve"> </w:t>
            </w:r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>Не умеет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</w:t>
            </w:r>
            <w:r w:rsid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,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допускает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BE5C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lastRenderedPageBreak/>
              <w:t>владеть: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</w:t>
            </w:r>
            <w:r w:rsid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ТНР)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c учётом их возраста и индивидуальных особенностей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Обладает низким уровнем владения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навыками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основными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BE5C11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</w:tr>
    </w:tbl>
    <w:p w:rsid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center" w:tblpY="8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7"/>
        <w:gridCol w:w="1165"/>
        <w:gridCol w:w="1740"/>
        <w:gridCol w:w="1773"/>
        <w:gridCol w:w="1354"/>
      </w:tblGrid>
      <w:tr w:rsidR="00C83053" w:rsidRPr="00191916" w:rsidTr="00C83053">
        <w:tc>
          <w:tcPr>
            <w:tcW w:w="1843" w:type="dxa"/>
          </w:tcPr>
          <w:p w:rsidR="00C83053" w:rsidRPr="00191916" w:rsidRDefault="00C83053" w:rsidP="00C8305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</w:pPr>
            <w:r w:rsidRPr="00191916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 w:rsidRPr="00191916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2297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C83053" w:rsidRPr="00191916" w:rsidTr="00C83053">
        <w:tc>
          <w:tcPr>
            <w:tcW w:w="1843" w:type="dxa"/>
          </w:tcPr>
          <w:p w:rsidR="00C83053" w:rsidRPr="00191916" w:rsidRDefault="00C83053" w:rsidP="00C83053">
            <w:pPr>
              <w:pStyle w:val="aa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2297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Владеет технологиями презентации результатов исследовательской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деятельности, но допускает системные ошибки.</w:t>
            </w:r>
          </w:p>
        </w:tc>
        <w:tc>
          <w:tcPr>
            <w:tcW w:w="1773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Владеет технологиями презентации результатов исследовательской деятельности, но допускает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незначительные ошибки.</w:t>
            </w:r>
          </w:p>
        </w:tc>
        <w:tc>
          <w:tcPr>
            <w:tcW w:w="1354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Владеет технологиями презентации результатов исследовательской деятельности</w:t>
            </w:r>
          </w:p>
        </w:tc>
      </w:tr>
    </w:tbl>
    <w:p w:rsidR="00C83053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83053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83053" w:rsidRPr="00D93452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sectPr w:rsidR="00C83053" w:rsidRPr="00D9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"/>
      <w:lvlJc w:val="left"/>
      <w:pPr>
        <w:tabs>
          <w:tab w:val="num" w:pos="1012"/>
        </w:tabs>
        <w:ind w:left="1012" w:hanging="360"/>
      </w:pPr>
      <w:rPr>
        <w:rFonts w:ascii="Times New Roman" w:hAnsi="Times New Roman" w:cs="Times New Roman"/>
        <w:bCs/>
      </w:rPr>
    </w:lvl>
  </w:abstractNum>
  <w:abstractNum w:abstractNumId="3" w15:restartNumberingAfterBreak="0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556BB"/>
    <w:multiLevelType w:val="hybridMultilevel"/>
    <w:tmpl w:val="2D4295E0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037127AE"/>
    <w:multiLevelType w:val="hybridMultilevel"/>
    <w:tmpl w:val="F4CC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C63CB"/>
    <w:multiLevelType w:val="hybridMultilevel"/>
    <w:tmpl w:val="62B4F6CE"/>
    <w:lvl w:ilvl="0" w:tplc="D7CC394C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2FB4EC9"/>
    <w:multiLevelType w:val="hybridMultilevel"/>
    <w:tmpl w:val="7F02F1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C5BDA"/>
    <w:multiLevelType w:val="hybridMultilevel"/>
    <w:tmpl w:val="EB20ED2A"/>
    <w:lvl w:ilvl="0" w:tplc="BCD4AB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4B68F1"/>
    <w:multiLevelType w:val="multilevel"/>
    <w:tmpl w:val="7430CE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57A7C14"/>
    <w:multiLevelType w:val="multilevel"/>
    <w:tmpl w:val="F72A969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2" w15:restartNumberingAfterBreak="0">
    <w:nsid w:val="2E133AC1"/>
    <w:multiLevelType w:val="hybridMultilevel"/>
    <w:tmpl w:val="7536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9287B"/>
    <w:multiLevelType w:val="hybridMultilevel"/>
    <w:tmpl w:val="37E6034C"/>
    <w:lvl w:ilvl="0" w:tplc="E57EC634">
      <w:start w:val="1"/>
      <w:numFmt w:val="decimal"/>
      <w:lvlText w:val="%1."/>
      <w:lvlJc w:val="left"/>
      <w:pPr>
        <w:tabs>
          <w:tab w:val="num" w:pos="1558"/>
        </w:tabs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426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328420F6"/>
    <w:multiLevelType w:val="hybridMultilevel"/>
    <w:tmpl w:val="8BDCE31C"/>
    <w:lvl w:ilvl="0" w:tplc="42263A5C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 w:tentative="1">
      <w:start w:val="1"/>
      <w:numFmt w:val="lowerLetter"/>
      <w:lvlText w:val="%2."/>
      <w:lvlJc w:val="left"/>
      <w:pPr>
        <w:ind w:left="578" w:hanging="360"/>
      </w:pPr>
    </w:lvl>
    <w:lvl w:ilvl="2" w:tplc="0419001B" w:tentative="1">
      <w:start w:val="1"/>
      <w:numFmt w:val="lowerRoman"/>
      <w:lvlText w:val="%3."/>
      <w:lvlJc w:val="right"/>
      <w:pPr>
        <w:ind w:left="1298" w:hanging="180"/>
      </w:pPr>
    </w:lvl>
    <w:lvl w:ilvl="3" w:tplc="0419000F" w:tentative="1">
      <w:start w:val="1"/>
      <w:numFmt w:val="decimal"/>
      <w:lvlText w:val="%4."/>
      <w:lvlJc w:val="left"/>
      <w:pPr>
        <w:ind w:left="2018" w:hanging="360"/>
      </w:pPr>
    </w:lvl>
    <w:lvl w:ilvl="4" w:tplc="04190019" w:tentative="1">
      <w:start w:val="1"/>
      <w:numFmt w:val="lowerLetter"/>
      <w:lvlText w:val="%5."/>
      <w:lvlJc w:val="left"/>
      <w:pPr>
        <w:ind w:left="2738" w:hanging="360"/>
      </w:pPr>
    </w:lvl>
    <w:lvl w:ilvl="5" w:tplc="0419001B" w:tentative="1">
      <w:start w:val="1"/>
      <w:numFmt w:val="lowerRoman"/>
      <w:lvlText w:val="%6."/>
      <w:lvlJc w:val="right"/>
      <w:pPr>
        <w:ind w:left="3458" w:hanging="180"/>
      </w:pPr>
    </w:lvl>
    <w:lvl w:ilvl="6" w:tplc="0419000F" w:tentative="1">
      <w:start w:val="1"/>
      <w:numFmt w:val="decimal"/>
      <w:lvlText w:val="%7."/>
      <w:lvlJc w:val="left"/>
      <w:pPr>
        <w:ind w:left="4178" w:hanging="360"/>
      </w:pPr>
    </w:lvl>
    <w:lvl w:ilvl="7" w:tplc="04190019" w:tentative="1">
      <w:start w:val="1"/>
      <w:numFmt w:val="lowerLetter"/>
      <w:lvlText w:val="%8."/>
      <w:lvlJc w:val="left"/>
      <w:pPr>
        <w:ind w:left="4898" w:hanging="360"/>
      </w:pPr>
    </w:lvl>
    <w:lvl w:ilvl="8" w:tplc="041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6" w15:restartNumberingAfterBreak="0">
    <w:nsid w:val="366039CB"/>
    <w:multiLevelType w:val="hybridMultilevel"/>
    <w:tmpl w:val="BA3E9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A0601"/>
    <w:multiLevelType w:val="hybridMultilevel"/>
    <w:tmpl w:val="0916FA6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9E71C49"/>
    <w:multiLevelType w:val="hybridMultilevel"/>
    <w:tmpl w:val="C9020B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C3096"/>
    <w:multiLevelType w:val="multilevel"/>
    <w:tmpl w:val="4C46769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A4017E9"/>
    <w:multiLevelType w:val="hybridMultilevel"/>
    <w:tmpl w:val="E258EB30"/>
    <w:lvl w:ilvl="0" w:tplc="48626972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A77C5"/>
    <w:multiLevelType w:val="hybridMultilevel"/>
    <w:tmpl w:val="0FDCEF76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F34606"/>
    <w:multiLevelType w:val="hybridMultilevel"/>
    <w:tmpl w:val="0B9261C0"/>
    <w:lvl w:ilvl="0" w:tplc="BCD4AB9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F965534"/>
    <w:multiLevelType w:val="hybridMultilevel"/>
    <w:tmpl w:val="553A029C"/>
    <w:lvl w:ilvl="0" w:tplc="AB2EB0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17223C7"/>
    <w:multiLevelType w:val="hybridMultilevel"/>
    <w:tmpl w:val="735049F4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E42101"/>
    <w:multiLevelType w:val="hybridMultilevel"/>
    <w:tmpl w:val="BAAE3F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991E02"/>
    <w:multiLevelType w:val="hybridMultilevel"/>
    <w:tmpl w:val="E308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6D97143E"/>
    <w:multiLevelType w:val="hybridMultilevel"/>
    <w:tmpl w:val="94480638"/>
    <w:lvl w:ilvl="0" w:tplc="9D4037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85022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12"/>
  </w:num>
  <w:num w:numId="5">
    <w:abstractNumId w:val="28"/>
  </w:num>
  <w:num w:numId="6">
    <w:abstractNumId w:val="14"/>
  </w:num>
  <w:num w:numId="7">
    <w:abstractNumId w:val="19"/>
  </w:num>
  <w:num w:numId="8">
    <w:abstractNumId w:val="30"/>
  </w:num>
  <w:num w:numId="9">
    <w:abstractNumId w:val="18"/>
  </w:num>
  <w:num w:numId="10">
    <w:abstractNumId w:val="13"/>
  </w:num>
  <w:num w:numId="11">
    <w:abstractNumId w:val="3"/>
  </w:num>
  <w:num w:numId="12">
    <w:abstractNumId w:val="8"/>
  </w:num>
  <w:num w:numId="13">
    <w:abstractNumId w:val="7"/>
  </w:num>
  <w:num w:numId="14">
    <w:abstractNumId w:val="0"/>
  </w:num>
  <w:num w:numId="15">
    <w:abstractNumId w:val="25"/>
  </w:num>
  <w:num w:numId="16">
    <w:abstractNumId w:val="22"/>
  </w:num>
  <w:num w:numId="17">
    <w:abstractNumId w:val="23"/>
  </w:num>
  <w:num w:numId="18">
    <w:abstractNumId w:val="26"/>
  </w:num>
  <w:num w:numId="19">
    <w:abstractNumId w:val="5"/>
  </w:num>
  <w:num w:numId="20">
    <w:abstractNumId w:val="9"/>
  </w:num>
  <w:num w:numId="21">
    <w:abstractNumId w:val="10"/>
  </w:num>
  <w:num w:numId="22">
    <w:abstractNumId w:val="20"/>
  </w:num>
  <w:num w:numId="23">
    <w:abstractNumId w:val="27"/>
  </w:num>
  <w:num w:numId="24">
    <w:abstractNumId w:val="16"/>
  </w:num>
  <w:num w:numId="25">
    <w:abstractNumId w:val="4"/>
  </w:num>
  <w:num w:numId="26">
    <w:abstractNumId w:val="1"/>
  </w:num>
  <w:num w:numId="27">
    <w:abstractNumId w:val="15"/>
  </w:num>
  <w:num w:numId="28">
    <w:abstractNumId w:val="2"/>
  </w:num>
  <w:num w:numId="29">
    <w:abstractNumId w:val="6"/>
  </w:num>
  <w:num w:numId="30">
    <w:abstractNumId w:val="21"/>
  </w:num>
  <w:num w:numId="31">
    <w:abstractNumId w:val="2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52"/>
    <w:rsid w:val="000D7BD5"/>
    <w:rsid w:val="0025703E"/>
    <w:rsid w:val="002D38C9"/>
    <w:rsid w:val="004915CF"/>
    <w:rsid w:val="00587BED"/>
    <w:rsid w:val="0075543C"/>
    <w:rsid w:val="008446A4"/>
    <w:rsid w:val="00A40A3C"/>
    <w:rsid w:val="00BE5C11"/>
    <w:rsid w:val="00C83053"/>
    <w:rsid w:val="00D93452"/>
    <w:rsid w:val="00DD445E"/>
    <w:rsid w:val="00E56E09"/>
    <w:rsid w:val="00E62F0C"/>
    <w:rsid w:val="00F6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85ED"/>
  <w15:chartTrackingRefBased/>
  <w15:docId w15:val="{6B3BF366-7BD3-42B1-89A3-EFBF50D9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D93452"/>
    <w:pPr>
      <w:suppressAutoHyphens/>
      <w:spacing w:before="280" w:after="280" w:line="240" w:lineRule="auto"/>
      <w:ind w:left="283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345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numbering" w:customStyle="1" w:styleId="11">
    <w:name w:val="Нет списка1"/>
    <w:next w:val="a3"/>
    <w:semiHidden/>
    <w:unhideWhenUsed/>
    <w:rsid w:val="00D93452"/>
  </w:style>
  <w:style w:type="paragraph" w:styleId="a0">
    <w:name w:val="Body Text"/>
    <w:basedOn w:val="a"/>
    <w:link w:val="a4"/>
    <w:rsid w:val="00D934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D9345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12">
    <w:name w:val="Абзац списка1"/>
    <w:basedOn w:val="a"/>
    <w:rsid w:val="00D9345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13">
    <w:name w:val="Текст сноски1"/>
    <w:basedOn w:val="a"/>
    <w:rsid w:val="00D9345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Default">
    <w:name w:val="Default"/>
    <w:rsid w:val="00D93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qFormat/>
    <w:rsid w:val="00D93452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customStyle="1" w:styleId="Style6">
    <w:name w:val="Style6"/>
    <w:basedOn w:val="a"/>
    <w:rsid w:val="00D93452"/>
    <w:pPr>
      <w:widowControl w:val="0"/>
      <w:suppressAutoHyphens/>
      <w:autoSpaceDE w:val="0"/>
      <w:spacing w:after="200" w:line="199" w:lineRule="exact"/>
      <w:ind w:firstLine="295"/>
    </w:pPr>
    <w:rPr>
      <w:rFonts w:ascii="Calibri" w:eastAsia="Calibri" w:hAnsi="Calibri" w:cs="Times New Roman"/>
      <w:lang w:eastAsia="zh-CN"/>
    </w:rPr>
  </w:style>
  <w:style w:type="paragraph" w:customStyle="1" w:styleId="14">
    <w:name w:val="Название объекта1"/>
    <w:basedOn w:val="a"/>
    <w:rsid w:val="00D934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styleId="a6">
    <w:name w:val="Hyperlink"/>
    <w:rsid w:val="00D93452"/>
    <w:rPr>
      <w:rFonts w:cs="Times New Roman"/>
      <w:color w:val="0000FF"/>
      <w:u w:val="single"/>
    </w:rPr>
  </w:style>
  <w:style w:type="character" w:styleId="a7">
    <w:name w:val="Emphasis"/>
    <w:qFormat/>
    <w:rsid w:val="00D93452"/>
    <w:rPr>
      <w:rFonts w:cs="Times New Roman"/>
      <w:i/>
      <w:iCs/>
    </w:rPr>
  </w:style>
  <w:style w:type="paragraph" w:styleId="a8">
    <w:name w:val="Normal (Web)"/>
    <w:basedOn w:val="a"/>
    <w:rsid w:val="00D9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D93452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kern w:val="1"/>
      <w:sz w:val="24"/>
      <w:szCs w:val="24"/>
    </w:rPr>
  </w:style>
  <w:style w:type="character" w:customStyle="1" w:styleId="-">
    <w:name w:val="Интернет-ссылка"/>
    <w:rsid w:val="00D93452"/>
    <w:rPr>
      <w:rFonts w:cs="Times New Roman"/>
      <w:color w:val="0000FF"/>
      <w:u w:val="single"/>
      <w:lang w:val="ru-RU" w:eastAsia="ru-RU"/>
    </w:rPr>
  </w:style>
  <w:style w:type="paragraph" w:customStyle="1" w:styleId="aa">
    <w:name w:val="Базовый"/>
    <w:rsid w:val="00D93452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2">
    <w:name w:val="Обычный (веб)2"/>
    <w:basedOn w:val="a"/>
    <w:rsid w:val="00D93452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b">
    <w:name w:val="Strong"/>
    <w:qFormat/>
    <w:rsid w:val="00D93452"/>
    <w:rPr>
      <w:b/>
      <w:bCs/>
    </w:rPr>
  </w:style>
  <w:style w:type="paragraph" w:styleId="ac">
    <w:name w:val="List Paragraph"/>
    <w:basedOn w:val="a"/>
    <w:uiPriority w:val="34"/>
    <w:qFormat/>
    <w:rsid w:val="00D93452"/>
    <w:pPr>
      <w:widowControl w:val="0"/>
      <w:suppressAutoHyphens/>
      <w:spacing w:after="0" w:line="240" w:lineRule="auto"/>
      <w:ind w:left="708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customStyle="1" w:styleId="21">
    <w:name w:val="Основной текст с отступом 21"/>
    <w:basedOn w:val="a"/>
    <w:rsid w:val="00D93452"/>
    <w:pPr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nsPlusNormal">
    <w:name w:val="ConsPlusNormal"/>
    <w:rsid w:val="00D934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">
    <w:name w:val="Основной текст с отступом 31"/>
    <w:basedOn w:val="a"/>
    <w:rsid w:val="00D93452"/>
    <w:pPr>
      <w:widowControl w:val="0"/>
      <w:suppressAutoHyphens/>
      <w:snapToGrid w:val="0"/>
      <w:spacing w:before="40" w:after="0" w:line="240" w:lineRule="auto"/>
      <w:ind w:firstLine="567"/>
      <w:jc w:val="both"/>
    </w:pPr>
    <w:rPr>
      <w:rFonts w:ascii="Arial" w:eastAsia="Times New Roman" w:hAnsi="Arial" w:cs="Times New Roman"/>
      <w:i/>
      <w:kern w:val="1"/>
      <w:sz w:val="24"/>
      <w:szCs w:val="24"/>
      <w:lang w:eastAsia="ar-SA"/>
    </w:rPr>
  </w:style>
  <w:style w:type="character" w:customStyle="1" w:styleId="apple-converted-space">
    <w:name w:val="apple-converted-space"/>
    <w:rsid w:val="00D93452"/>
  </w:style>
  <w:style w:type="paragraph" w:customStyle="1" w:styleId="def">
    <w:name w:val="def"/>
    <w:basedOn w:val="a"/>
    <w:rsid w:val="00D93452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93452"/>
    <w:pPr>
      <w:suppressAutoHyphens/>
      <w:spacing w:after="120" w:line="276" w:lineRule="auto"/>
    </w:pPr>
    <w:rPr>
      <w:rFonts w:ascii="Calibri" w:eastAsia="Calibri" w:hAnsi="Calibri" w:cs="Calibri"/>
      <w:kern w:val="1"/>
      <w:sz w:val="16"/>
      <w:szCs w:val="16"/>
      <w:lang w:eastAsia="ar-SA"/>
    </w:rPr>
  </w:style>
  <w:style w:type="character" w:customStyle="1" w:styleId="Absatz-Standardschriftart">
    <w:name w:val="Absatz-Standardschriftart"/>
    <w:rsid w:val="00D93452"/>
  </w:style>
  <w:style w:type="paragraph" w:styleId="ad">
    <w:name w:val="Body Text Indent"/>
    <w:basedOn w:val="a"/>
    <w:link w:val="ae"/>
    <w:uiPriority w:val="99"/>
    <w:semiHidden/>
    <w:unhideWhenUsed/>
    <w:rsid w:val="00D9345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D93452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Заголовок Знак"/>
    <w:link w:val="af0"/>
    <w:locked/>
    <w:rsid w:val="00D93452"/>
    <w:rPr>
      <w:b/>
      <w:sz w:val="28"/>
    </w:rPr>
  </w:style>
  <w:style w:type="paragraph" w:styleId="af0">
    <w:name w:val="Title"/>
    <w:basedOn w:val="a"/>
    <w:link w:val="af"/>
    <w:qFormat/>
    <w:rsid w:val="00D93452"/>
    <w:pPr>
      <w:tabs>
        <w:tab w:val="num" w:pos="851"/>
      </w:tabs>
      <w:spacing w:after="0" w:line="240" w:lineRule="auto"/>
      <w:jc w:val="center"/>
    </w:pPr>
    <w:rPr>
      <w:b/>
      <w:sz w:val="28"/>
    </w:rPr>
  </w:style>
  <w:style w:type="character" w:customStyle="1" w:styleId="15">
    <w:name w:val="Название Знак1"/>
    <w:basedOn w:val="a1"/>
    <w:uiPriority w:val="10"/>
    <w:rsid w:val="00D9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0">
    <w:name w:val="Body Text 2"/>
    <w:basedOn w:val="a"/>
    <w:link w:val="22"/>
    <w:uiPriority w:val="99"/>
    <w:unhideWhenUsed/>
    <w:rsid w:val="00D93452"/>
    <w:pPr>
      <w:widowControl w:val="0"/>
      <w:suppressAutoHyphens/>
      <w:spacing w:after="120" w:line="480" w:lineRule="auto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22">
    <w:name w:val="Основной текст 2 Знак"/>
    <w:basedOn w:val="a1"/>
    <w:link w:val="20"/>
    <w:uiPriority w:val="99"/>
    <w:rsid w:val="00D93452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10603</Words>
  <Characters>60439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70901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2020-01-30T04:20:00Z</dcterms:created>
  <dcterms:modified xsi:type="dcterms:W3CDTF">2022-11-14T04:30:00Z</dcterms:modified>
</cp:coreProperties>
</file>