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Default="00F829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«</w:t>
      </w:r>
      <w:r w:rsidR="00684DB5" w:rsidRPr="00684DB5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Методы организации исследовательской и проектной деятельности </w:t>
      </w:r>
      <w:proofErr w:type="gramStart"/>
      <w:r w:rsidR="00684DB5" w:rsidRPr="00684DB5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обучающихся</w:t>
      </w:r>
      <w:bookmarkStart w:id="0" w:name="_GoBack"/>
      <w:bookmarkEnd w:id="0"/>
      <w:proofErr w:type="gramEnd"/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»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№№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35F1C" w:rsidTr="00C82EB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C82E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 w:rsidRPr="00C82EB7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Исследовательская деятельность </w:t>
            </w:r>
            <w:proofErr w:type="gramStart"/>
            <w:r w:rsidRPr="00C82EB7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C82EB7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. Организация исследовательской деятельности </w:t>
            </w:r>
            <w:proofErr w:type="gramStart"/>
            <w:r w:rsidRPr="00C82EB7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C82EB7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 на уроке и во внеурочной работе.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04313E" w:rsidP="00C82EB7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У</w:t>
            </w:r>
            <w:r w:rsidR="00F8292F"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К-</w:t>
            </w: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1</w:t>
            </w:r>
          </w:p>
          <w:p w:rsidR="00335F1C" w:rsidRDefault="0004313E" w:rsidP="00C82EB7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У</w:t>
            </w:r>
            <w:r w:rsidR="00F8292F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К-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  <w:p w:rsidR="00335F1C" w:rsidRDefault="00F8292F" w:rsidP="00C82EB7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ПК-</w:t>
            </w:r>
            <w:r w:rsidR="0004313E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тест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творческие задания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реферат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зачет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C82E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 w:rsidRPr="00C82EB7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Проектная деятельность </w:t>
            </w:r>
            <w:proofErr w:type="gramStart"/>
            <w:r w:rsidRPr="00C82EB7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C82EB7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. Организация проектной деятельности </w:t>
            </w:r>
            <w:proofErr w:type="gramStart"/>
            <w:r w:rsidRPr="00C82EB7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C82EB7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 на уроке и во внеурочной работе.</w:t>
            </w: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16"/>
          <w:szCs w:val="16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>Тесты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 xml:space="preserve">Раздел 1. </w:t>
      </w:r>
      <w:r>
        <w:rPr>
          <w:rFonts w:ascii="Times New Roman" w:eastAsia="DejaVu Sans" w:hAnsi="Times New Roman" w:cs="Times New Roman"/>
          <w:b/>
          <w:lang w:eastAsia="hi-IN" w:bidi="hi-IN"/>
        </w:rPr>
        <w:t xml:space="preserve">Исследовательская деятельность. </w:t>
      </w:r>
      <w:r>
        <w:rPr>
          <w:rFonts w:ascii="Times New Roman" w:eastAsia="DejaVu Sans" w:hAnsi="Times New Roman" w:cs="DejaVu Sans"/>
          <w:b/>
          <w:lang w:eastAsia="hi-IN" w:bidi="hi-IN"/>
        </w:rPr>
        <w:t>Организация исследовательской деятельности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1. Исследовательская деятельность – это …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изучение нового материла;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вид деятельности, направленный на познание;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особый вид деятельности человека, позволяющий открывать новые знания.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2. Выберите правильный вариант определения понятия «исследовательская деятельность младших школьников – это ...» 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 особая деятельность человека, имеющая определенную структуру и направленная на реализацию  научного исследования с применением всех возможных средств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деятельность, направленная на усвоение нового знания с помощью педагога;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активная познавательная и творческая деятельность, направленная на реализацию исследования или его части с применением доступных для детей методов;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правильного варианта ответа нет.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3. Выберите правильный вариант ответа. Исследовательская деятельность детей по способу организации может быть: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активная и неактивная (пассивная);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спонтанная и специально организованная;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репродуктивная и продуктивная;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творческая и нетворческая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4. Выберите группу мотивов, относящихся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социальные, творческие и практические мотивы;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социальные и познавательные;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познавательные и коммуникативные;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личностные и коммуникативные.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5. Выберите метод, не относящийся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наблюдение;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опыт;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опрос;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демонстрация;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выявление свойств;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измерение объекта;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ж) тестирование.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6. Выберите правильный вариант определения понятия «исследовательские умения – это …»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умственные действия, направленные на исследование;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реализация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умственные и практические действия, направленные на реализацию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г) правильного варианта ответа нет. 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7. Выберите умения, не относящееся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изобразительные;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организационные;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информационные;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поисковые;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оценочные;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презентационные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Выберите правильный вариант ответа. Тема исследовательской работы младшего школьника должна быть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..</w:t>
      </w:r>
      <w:proofErr w:type="gramEnd"/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сложной,  проблемной, актуальной и новой;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понятной, интересной, посильной;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легкой, понятной, раскрытой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>Раздел 2. Проектная деятельность школьников. Организация проектной деятельности школьников на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1. Это совместная познавательная деятельность учащихся, имеющая общую цель, согласованные методы, способы деятельности, направления на достижение общего результата деятельности. Важным условием такой деятельности  является наличие заранее выработанных представлений о конечном продукте деятельности, этапов проектирования и реализации проекта, включая его рефлексию и осмысление результатов деятельности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проектная деятельность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)и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>сследовательская деятельность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2. Под руководством русского педагога </w:t>
      </w:r>
      <w:proofErr w:type="spellStart"/>
      <w:r>
        <w:rPr>
          <w:rFonts w:ascii="Times New Roman" w:eastAsia="DejaVu Sans" w:hAnsi="Times New Roman" w:cs="Mangal"/>
          <w:bCs/>
          <w:lang w:eastAsia="hi-IN" w:bidi="hi-IN"/>
        </w:rPr>
        <w:t>С.Т.Шацкого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в 1905 году была организована небольшая группа сотрудников, пытавшаяся активно использовать 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проектные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исследовательские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3.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Проектаная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деятельность направлена на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познание нового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создание продукта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4. Изучением проблемы организации проектной деятельности дошкольников занимались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Е.С.Полат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, И.Д.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Чечель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А.И. Савенков, А.Н..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Поддъяков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5. Автор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проектоно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>-задачной технологии</w:t>
      </w:r>
      <w:r>
        <w:rPr>
          <w:rFonts w:ascii="Times New Roman" w:eastAsia="DejaVu Sans" w:hAnsi="Times New Roman" w:cs="DejaVu Sans"/>
          <w:iCs/>
          <w:lang w:eastAsia="hi-IN" w:bidi="hi-IN"/>
        </w:rPr>
        <w:t>):</w:t>
      </w:r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А.И.Савенков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Б)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А.Г.Воронцов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В)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Е.С.Полат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6. «Узнать, что такое режим дня и выяснить, каким он должен быть для здорового образа жизни»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7. «Сделать стенгазету о режиме дня»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 «Формировать у детей представления о времени через разработку и создание изделия «часы»  »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335F1C">
      <w:pPr>
        <w:sectPr w:rsidR="00335F1C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lastRenderedPageBreak/>
        <w:t>В) педагогическая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spacing w:after="0" w:line="240" w:lineRule="auto"/>
        <w:rPr>
          <w:rFonts w:ascii="Times New Roman" w:hAnsi="Times New Roman" w:cs="Times New Roman"/>
        </w:rPr>
      </w:pPr>
    </w:p>
    <w:p w:rsidR="00335F1C" w:rsidRDefault="00F82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 оценки</w:t>
      </w:r>
    </w:p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W w:w="7656" w:type="dxa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100%-80</w:t>
            </w:r>
          </w:p>
        </w:tc>
      </w:tr>
    </w:tbl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 xml:space="preserve">Творческие задания 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Групповые творческие задания: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фрагмента урока или занятия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Создание средств для этого урока (наглядность, средства, презентации)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Реализация 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Самоанализ 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Примерные темы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Свойства бумаги/тканей/ красок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Опыты с водой/материалами/другими веществами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исследовательских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проектных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Проект на уроке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…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Исследование во внеурочной деятельности.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во внеурочной деятельности.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10"/>
        <w:gridCol w:w="1728"/>
        <w:gridCol w:w="1757"/>
        <w:gridCol w:w="1757"/>
        <w:gridCol w:w="1902"/>
      </w:tblGrid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Разработка конспекта урока/занятия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неверно указана цель, не указаны все группы задач, или с ошибками,  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есть недочеты в формулировании задач, описано оборудование, но к структуре  и содержанию урока есть замечания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 указана цель, довольно полно описаны группы задач,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все группы задач, описано оборудование, структура  и содержание урока пописано подробно и соответствует теме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Создание средств для этого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Средства почти не применялись или были неуместны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Реализация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Учитель не соответствует требованиям: внешний вид, речь, культура общения. Урок не структурирован, неинтересен несодержателен. Дети не вовлечены в деятельность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.. 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Владение методами  на низком уровне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соответствует требованиям: внешний вид, но есть замечания к  речи, культуре общения. Урок структурирован, но не очень интересен и содержателен. Дети  мало вовлечены в разные виды деятельности. Применен узкий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круг методов и средств.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речь, культура общения. Урок структурирован, интересен содержателен, но небольшие замечания.  Дети вовлечены в разные виды деятельности, но не всегда в достаточной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мере. Применен комплекс методов и средств.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Учитель соответствует требованиям: внешний вид, речь, культура общения. Урок структурирован, интересен содержателен. дети вовлечены в разные виды деятельности. Применен комплекс методов и средств.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Самоанализ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Индивидуальные творческие задания: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алгоритма применения исследовательского метода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материала для решения проектной задачи</w:t>
      </w:r>
    </w:p>
    <w:p w:rsidR="00335F1C" w:rsidRDefault="00335F1C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4"/>
        <w:gridCol w:w="2311"/>
        <w:gridCol w:w="1907"/>
        <w:gridCol w:w="2311"/>
        <w:gridCol w:w="2311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не содержателен/материал не позволит раскрыть тему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достаточно содержателен, но есть недочеты/материал не в полной мере позволит раскрыть тему.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содержателен/материал позволит раскрыть тему.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изложения /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Текст содержателен/материал позволит раскрыть тему 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Темы рефератов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начение, место и подходы к организации исследовательской и проектной деятельности во внеурочной деятельности</w:t>
      </w:r>
    </w:p>
    <w:p w:rsidR="00335F1C" w:rsidRDefault="0004313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 w:rsidR="00F8292F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проектной деятельности при изучении различных дисциплин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проектной деятельности в регионе</w:t>
      </w:r>
    </w:p>
    <w:p w:rsidR="00335F1C" w:rsidRPr="0004313E" w:rsidRDefault="0004313E" w:rsidP="0004313E">
      <w:pPr>
        <w:pStyle w:val="a8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Преемственность в организации исследовательской и проектной деятельности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1733"/>
        <w:gridCol w:w="2129"/>
        <w:gridCol w:w="1868"/>
        <w:gridCol w:w="1824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Культура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оформления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Низкая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изложения и оформления.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в 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изложении информации и оформлении слайдов.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в    оформлении.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Высокая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оформления.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Вопросы к зачету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Понятие «исследовательская деятельность», «учебная исследовательская деятельность».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Стандарт образования нового поколения. Место исследовательской деятельности. Связь с  УУД.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История исследовательского и проектного обучения.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исследовательской деятельности в разных возрастных группах. Исследовательская деятельность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Исследовательские умения.  Группы исследовательских умений.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Условия организации исследовательской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Методика проведения заданий с включением </w:t>
      </w:r>
      <w:r w:rsidR="0004313E"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обучающихся</w:t>
      </w: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 в исследовательскую деятельность.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Понятия «проектная деятельность», ее отличия от  исследовательской деятельности.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организации проектной деятельности в разных возрастных группах. Проектная  деятельность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Классификации проектов, виды проектов.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Этапы осуществления проекта.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Проектные умения и методика их формирования.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 xml:space="preserve">Критерии оценки </w:t>
      </w:r>
      <w:r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  <w:t>(пример):</w:t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(критерии и показатели оценки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сформированности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9"/>
        <w:gridCol w:w="1843"/>
        <w:gridCol w:w="1842"/>
        <w:gridCol w:w="1985"/>
        <w:gridCol w:w="1843"/>
      </w:tblGrid>
      <w:tr w:rsidR="00F8292F" w:rsidTr="00F8292F">
        <w:trPr>
          <w:tblHeader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Показатели оценивания, балл</w:t>
            </w:r>
          </w:p>
        </w:tc>
      </w:tr>
      <w:tr w:rsidR="00F8292F" w:rsidTr="00F8292F">
        <w:trPr>
          <w:tblHeader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5</w:t>
            </w:r>
          </w:p>
        </w:tc>
      </w:tr>
      <w:tr w:rsidR="00F8292F" w:rsidTr="00F8292F">
        <w:trPr>
          <w:trHeight w:val="14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исследовательской и проектной деятельности младших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исследовательской и проектной деятельности школьников; но имеет затруднения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 xml:space="preserve">уметь: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универсальные учебные действия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 с недочетами и замечаниями</w:t>
            </w:r>
            <w:proofErr w:type="gramEnd"/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некоторыми недочетами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Default="00F82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lastRenderedPageBreak/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 допускает ошибки, испытывает серьезные затруднения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</w:tr>
    </w:tbl>
    <w:p w:rsidR="00335F1C" w:rsidRPr="00F8292F" w:rsidRDefault="00F8292F" w:rsidP="00F8292F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F8292F">
        <w:rPr>
          <w:b/>
        </w:rPr>
        <w:lastRenderedPageBreak/>
        <w:t>Шкала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оценивания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результатов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обучения</w:t>
      </w:r>
      <w:proofErr w:type="spellEnd"/>
      <w:r w:rsidRPr="00F8292F">
        <w:rPr>
          <w:b/>
        </w:rPr>
        <w:t xml:space="preserve"> и </w:t>
      </w:r>
      <w:proofErr w:type="spellStart"/>
      <w:r w:rsidRPr="00F8292F">
        <w:rPr>
          <w:b/>
        </w:rPr>
        <w:t>сформированности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компетенции</w:t>
      </w:r>
      <w:proofErr w:type="spellEnd"/>
    </w:p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53"/>
      </w:tblGrid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335F1C" w:rsidRDefault="00F8292F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  <w:rPr>
          <w:rFonts w:eastAsia="DejaVu Sans" w:cs="DejaVu Sans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335F1C" w:rsidRDefault="00F8292F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335F1C" w:rsidRDefault="00335F1C"/>
    <w:sectPr w:rsidR="00335F1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0000000000000000000"/>
    <w:charset w:val="00"/>
    <w:family w:val="roman"/>
    <w:notTrueType/>
    <w:pitch w:val="default"/>
  </w:font>
  <w:font w:name="Arial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100"/>
    <w:multiLevelType w:val="multilevel"/>
    <w:tmpl w:val="8034E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41024D"/>
    <w:multiLevelType w:val="multilevel"/>
    <w:tmpl w:val="DA5CB3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FC8"/>
    <w:multiLevelType w:val="hybridMultilevel"/>
    <w:tmpl w:val="696834C2"/>
    <w:lvl w:ilvl="0" w:tplc="63B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563B"/>
    <w:multiLevelType w:val="multilevel"/>
    <w:tmpl w:val="C62C3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A80CAF"/>
    <w:multiLevelType w:val="multilevel"/>
    <w:tmpl w:val="7C706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B762A15"/>
    <w:multiLevelType w:val="multilevel"/>
    <w:tmpl w:val="391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C6A76"/>
    <w:multiLevelType w:val="multilevel"/>
    <w:tmpl w:val="DBB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3B2619"/>
    <w:multiLevelType w:val="multilevel"/>
    <w:tmpl w:val="6AF48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E083A55"/>
    <w:multiLevelType w:val="multilevel"/>
    <w:tmpl w:val="25DEF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1C"/>
    <w:rsid w:val="0004313E"/>
    <w:rsid w:val="00162DD0"/>
    <w:rsid w:val="00335F1C"/>
    <w:rsid w:val="00684DB5"/>
    <w:rsid w:val="00C82EB7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  <w:style w:type="paragraph" w:styleId="ab">
    <w:name w:val="Balloon Text"/>
    <w:basedOn w:val="a"/>
    <w:link w:val="ac"/>
    <w:uiPriority w:val="99"/>
    <w:semiHidden/>
    <w:unhideWhenUsed/>
    <w:rsid w:val="0016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2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  <w:style w:type="paragraph" w:styleId="ab">
    <w:name w:val="Balloon Text"/>
    <w:basedOn w:val="a"/>
    <w:link w:val="ac"/>
    <w:uiPriority w:val="99"/>
    <w:semiHidden/>
    <w:unhideWhenUsed/>
    <w:rsid w:val="0016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2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3231</Words>
  <Characters>18423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Nastya_M25</dc:creator>
  <dc:description/>
  <cp:lastModifiedBy>User</cp:lastModifiedBy>
  <cp:revision>14</cp:revision>
  <dcterms:created xsi:type="dcterms:W3CDTF">2017-01-28T17:17:00Z</dcterms:created>
  <dcterms:modified xsi:type="dcterms:W3CDTF">2023-06-23T08:43:00Z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